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702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字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媒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版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径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作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HTML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9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702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iv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Div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CSS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0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637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XMind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XMind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SnagIt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270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SnagIt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GoldWave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GoldWave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P2P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P2SP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360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ind w:right="1570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360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2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955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复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375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除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2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像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头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ISO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摄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63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79" w:lineRule="exact" w:before="5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1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字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媒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ind w:right="2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辑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Premiere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Premiere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Pro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2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Flash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3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作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Flash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Banner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Dreamweaver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Flash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2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40" w:lineRule="exact" w:before="4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效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After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Effects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After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Effects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Maya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Maya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NURBS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Polygons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Autodesk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Maya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7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56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GoldWave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SnagIt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v2017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2.2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GoldWave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v6.30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SnagIt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4.3.0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03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