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C731B">
      <w:pPr>
        <w:jc w:val="center"/>
        <w:rPr>
          <w:rFonts w:ascii="黑体" w:hAnsi="黑体" w:eastAsia="黑体"/>
          <w:sz w:val="44"/>
          <w:szCs w:val="52"/>
        </w:rPr>
      </w:pPr>
    </w:p>
    <w:p w14:paraId="2A14C106">
      <w:pPr>
        <w:rPr>
          <w:rFonts w:ascii="方正小标宋简体" w:eastAsia="方正小标宋简体"/>
          <w:sz w:val="72"/>
          <w:szCs w:val="72"/>
        </w:rPr>
      </w:pPr>
    </w:p>
    <w:p w14:paraId="3609C803">
      <w:pPr>
        <w:jc w:val="center"/>
        <w:rPr>
          <w:rFonts w:ascii="方正小标宋简体" w:eastAsia="方正小标宋简体"/>
          <w:sz w:val="72"/>
          <w:szCs w:val="72"/>
        </w:rPr>
      </w:pPr>
      <w:r>
        <w:rPr>
          <w:rFonts w:hint="eastAsia" w:ascii="方正小标宋简体" w:eastAsia="方正小标宋简体"/>
          <w:sz w:val="72"/>
          <w:szCs w:val="72"/>
        </w:rPr>
        <w:t>诸城市超然综合高级中学</w:t>
      </w:r>
    </w:p>
    <w:p w14:paraId="2411CCBD">
      <w:pPr>
        <w:jc w:val="center"/>
        <w:rPr>
          <w:rFonts w:ascii="方正小标宋简体" w:eastAsia="方正小标宋简体"/>
          <w:sz w:val="72"/>
          <w:szCs w:val="72"/>
        </w:rPr>
      </w:pPr>
      <w:r>
        <w:rPr>
          <w:rFonts w:hint="eastAsia" w:ascii="方正小标宋简体" w:eastAsia="方正小标宋简体"/>
          <w:sz w:val="72"/>
          <w:szCs w:val="72"/>
        </w:rPr>
        <w:t>财税专业人才培养方案</w:t>
      </w:r>
    </w:p>
    <w:p w14:paraId="0CB848D1">
      <w:pPr>
        <w:jc w:val="center"/>
        <w:rPr>
          <w:rFonts w:ascii="黑体" w:hAnsi="黑体" w:eastAsia="黑体"/>
          <w:sz w:val="44"/>
          <w:szCs w:val="52"/>
        </w:rPr>
      </w:pPr>
    </w:p>
    <w:p w14:paraId="6C1C1C40">
      <w:pPr>
        <w:jc w:val="center"/>
        <w:rPr>
          <w:rFonts w:ascii="黑体" w:hAnsi="黑体" w:eastAsia="黑体"/>
          <w:sz w:val="44"/>
          <w:szCs w:val="52"/>
        </w:rPr>
      </w:pPr>
    </w:p>
    <w:p w14:paraId="4E755FF1">
      <w:pPr>
        <w:jc w:val="center"/>
        <w:rPr>
          <w:rFonts w:ascii="黑体" w:hAnsi="黑体" w:eastAsia="黑体"/>
          <w:sz w:val="44"/>
          <w:szCs w:val="52"/>
        </w:rPr>
      </w:pPr>
    </w:p>
    <w:p w14:paraId="15AE2AB9">
      <w:pPr>
        <w:jc w:val="center"/>
        <w:rPr>
          <w:rFonts w:ascii="黑体" w:hAnsi="黑体" w:eastAsia="黑体"/>
          <w:sz w:val="44"/>
          <w:szCs w:val="52"/>
        </w:rPr>
      </w:pPr>
    </w:p>
    <w:p w14:paraId="2263AD89">
      <w:pPr>
        <w:jc w:val="center"/>
        <w:rPr>
          <w:rFonts w:ascii="黑体" w:hAnsi="黑体" w:eastAsia="黑体"/>
          <w:sz w:val="44"/>
          <w:szCs w:val="52"/>
        </w:rPr>
      </w:pPr>
    </w:p>
    <w:p w14:paraId="05A46670">
      <w:pPr>
        <w:jc w:val="center"/>
        <w:rPr>
          <w:rFonts w:ascii="黑体" w:hAnsi="黑体" w:eastAsia="黑体"/>
          <w:sz w:val="44"/>
          <w:szCs w:val="52"/>
        </w:rPr>
      </w:pPr>
      <w:bookmarkStart w:id="14" w:name="_GoBack"/>
      <w:bookmarkEnd w:id="14"/>
    </w:p>
    <w:p w14:paraId="0EC11407">
      <w:pPr>
        <w:jc w:val="center"/>
        <w:rPr>
          <w:rFonts w:ascii="黑体" w:hAnsi="黑体" w:eastAsia="黑体"/>
          <w:sz w:val="44"/>
          <w:szCs w:val="52"/>
        </w:rPr>
      </w:pPr>
    </w:p>
    <w:p w14:paraId="05845C6E">
      <w:pPr>
        <w:jc w:val="center"/>
        <w:rPr>
          <w:rFonts w:ascii="黑体" w:hAnsi="黑体" w:eastAsia="黑体"/>
          <w:sz w:val="44"/>
          <w:szCs w:val="52"/>
        </w:rPr>
      </w:pPr>
    </w:p>
    <w:p w14:paraId="24B6808B">
      <w:pPr>
        <w:jc w:val="center"/>
        <w:rPr>
          <w:rFonts w:ascii="黑体" w:hAnsi="黑体" w:eastAsia="黑体"/>
          <w:sz w:val="44"/>
          <w:szCs w:val="52"/>
        </w:rPr>
      </w:pPr>
    </w:p>
    <w:p w14:paraId="136CAF17">
      <w:pPr>
        <w:jc w:val="center"/>
        <w:rPr>
          <w:rFonts w:ascii="黑体" w:hAnsi="黑体" w:eastAsia="黑体"/>
          <w:sz w:val="44"/>
          <w:szCs w:val="52"/>
        </w:rPr>
      </w:pPr>
    </w:p>
    <w:p w14:paraId="11A978B6">
      <w:pPr>
        <w:jc w:val="center"/>
        <w:rPr>
          <w:rFonts w:ascii="方正小标宋简体" w:eastAsia="方正小标宋简体"/>
          <w:sz w:val="44"/>
          <w:szCs w:val="44"/>
        </w:rPr>
      </w:pPr>
    </w:p>
    <w:p w14:paraId="08813C54">
      <w:pPr>
        <w:jc w:val="center"/>
        <w:rPr>
          <w:rFonts w:ascii="方正小标宋简体" w:eastAsia="方正小标宋简体"/>
          <w:sz w:val="44"/>
          <w:szCs w:val="44"/>
        </w:rPr>
      </w:pPr>
      <w:r>
        <w:rPr>
          <w:rFonts w:hint="eastAsia" w:ascii="方正小标宋简体" w:eastAsia="方正小标宋简体"/>
          <w:sz w:val="44"/>
          <w:szCs w:val="44"/>
        </w:rPr>
        <w:t>诸城市超然综合高级中学</w:t>
      </w:r>
    </w:p>
    <w:p w14:paraId="5CED716C">
      <w:pPr>
        <w:jc w:val="center"/>
        <w:rPr>
          <w:rFonts w:ascii="方正小标宋简体" w:eastAsia="方正小标宋简体"/>
          <w:sz w:val="44"/>
          <w:szCs w:val="44"/>
        </w:rPr>
        <w:sectPr>
          <w:pgSz w:w="11906" w:h="16838"/>
          <w:pgMar w:top="1304" w:right="1418" w:bottom="1304" w:left="1418" w:header="851" w:footer="992" w:gutter="0"/>
          <w:pgNumType w:start="1"/>
          <w:cols w:space="425" w:num="1"/>
          <w:docGrid w:linePitch="312" w:charSpace="0"/>
        </w:sect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w:t>
      </w:r>
      <w:r>
        <w:rPr>
          <w:rFonts w:hint="eastAsia" w:ascii="方正小标宋简体" w:eastAsia="方正小标宋简体"/>
          <w:sz w:val="44"/>
          <w:szCs w:val="44"/>
          <w:lang w:val="en-US" w:eastAsia="zh-CN"/>
        </w:rPr>
        <w:t>8</w:t>
      </w:r>
      <w:r>
        <w:rPr>
          <w:rFonts w:hint="eastAsia" w:ascii="方正小标宋简体" w:eastAsia="方正小标宋简体"/>
          <w:sz w:val="44"/>
          <w:szCs w:val="44"/>
        </w:rPr>
        <w:t>月</w:t>
      </w:r>
    </w:p>
    <w:p w14:paraId="0853B604">
      <w:pPr>
        <w:ind w:firstLine="880"/>
        <w:jc w:val="center"/>
        <w:rPr>
          <w:rFonts w:ascii="黑体" w:hAnsi="黑体" w:eastAsia="黑体"/>
          <w:sz w:val="44"/>
          <w:szCs w:val="52"/>
        </w:rPr>
      </w:pPr>
    </w:p>
    <w:p w14:paraId="78DFA7B0">
      <w:pPr>
        <w:ind w:firstLine="880"/>
        <w:jc w:val="center"/>
        <w:rPr>
          <w:rFonts w:ascii="Times New Roman" w:hAnsi="Times New Roman" w:eastAsia="方正小标宋简体" w:cs="宋体"/>
          <w:kern w:val="0"/>
          <w:sz w:val="44"/>
          <w:szCs w:val="44"/>
        </w:rPr>
      </w:pPr>
      <w:bookmarkStart w:id="0" w:name="_Toc528154166"/>
      <w:bookmarkStart w:id="1" w:name="_Toc30041"/>
      <w:r>
        <w:rPr>
          <w:rFonts w:hint="eastAsia" w:ascii="Times New Roman" w:hAnsi="Times New Roman" w:eastAsia="方正小标宋简体" w:cs="宋体"/>
          <w:kern w:val="0"/>
          <w:sz w:val="44"/>
          <w:szCs w:val="44"/>
        </w:rPr>
        <w:t>财税专业人才培养方案</w:t>
      </w:r>
      <w:bookmarkEnd w:id="0"/>
      <w:r>
        <w:rPr>
          <w:rFonts w:ascii="Times New Roman" w:hAnsi="Times New Roman" w:eastAsia="方正小标宋简体" w:cs="宋体"/>
          <w:kern w:val="0"/>
          <w:sz w:val="44"/>
          <w:szCs w:val="44"/>
        </w:rPr>
        <w:object>
          <v:shape id="_x0000_i1025" o:spt="75" type="#_x0000_t75" style="height:14.25pt;width:9pt;" o:ole="t" filled="f" o:preferrelative="t" stroked="f" coordsize="21600,21600">
            <v:path/>
            <v:fill on="f" focussize="0,0"/>
            <v:stroke on="f" joinstyle="miter"/>
            <v:imagedata r:id="rId5" o:title=""/>
            <o:lock v:ext="edit" aspectratio="t"/>
            <w10:wrap type="none"/>
            <w10:anchorlock/>
          </v:shape>
          <o:OLEObject Type="Embed" ProgID="Msxml2.SAXXMLReader.6.0" ShapeID="_x0000_i1025" DrawAspect="Content" ObjectID="_1468075725" r:id="rId4">
            <o:LockedField>false</o:LockedField>
          </o:OLEObject>
        </w:object>
      </w:r>
      <w:bookmarkEnd w:id="1"/>
    </w:p>
    <w:p w14:paraId="40967DA0">
      <w:pPr>
        <w:pStyle w:val="30"/>
        <w:ind w:firstLine="640"/>
        <w:rPr>
          <w:rFonts w:hint="default"/>
        </w:rPr>
      </w:pPr>
      <w:bookmarkStart w:id="2" w:name="_Toc528154167"/>
      <w:bookmarkStart w:id="3" w:name="_Toc1756"/>
      <w:bookmarkStart w:id="4" w:name="_Toc2701"/>
      <w:bookmarkStart w:id="5" w:name="_Toc32100"/>
      <w:r>
        <w:t>一、专业名称</w:t>
      </w:r>
      <w:bookmarkEnd w:id="2"/>
      <w:bookmarkEnd w:id="3"/>
      <w:bookmarkEnd w:id="4"/>
      <w:bookmarkEnd w:id="5"/>
      <w:r>
        <w:t>及代码</w:t>
      </w:r>
    </w:p>
    <w:p w14:paraId="6029C6C3">
      <w:pPr>
        <w:ind w:firstLine="640"/>
        <w:rPr>
          <w:rFonts w:hint="eastAsia" w:ascii="仿宋_GB2312" w:eastAsia="仿宋_GB2312"/>
          <w:sz w:val="32"/>
        </w:rPr>
      </w:pPr>
      <w:r>
        <w:rPr>
          <w:rFonts w:hint="eastAsia" w:ascii="仿宋_GB2312" w:eastAsia="仿宋_GB2312"/>
          <w:sz w:val="32"/>
        </w:rPr>
        <w:t>专业名称：</w:t>
      </w:r>
      <w:r>
        <w:rPr>
          <w:rFonts w:hint="eastAsia" w:ascii="仿宋_GB2312" w:hAnsi="仿宋" w:eastAsia="仿宋_GB2312"/>
          <w:sz w:val="32"/>
        </w:rPr>
        <w:t>财税</w:t>
      </w:r>
    </w:p>
    <w:p w14:paraId="47850981">
      <w:pPr>
        <w:ind w:firstLine="640"/>
        <w:rPr>
          <w:rFonts w:hint="default" w:ascii="仿宋_GB2312" w:eastAsia="仿宋_GB2312"/>
          <w:sz w:val="32"/>
          <w:lang w:val="en-US" w:eastAsia="zh-CN"/>
        </w:rPr>
      </w:pPr>
      <w:r>
        <w:rPr>
          <w:rFonts w:hint="eastAsia" w:ascii="仿宋_GB2312" w:eastAsia="仿宋_GB2312"/>
          <w:sz w:val="32"/>
        </w:rPr>
        <w:t>专业代码：</w:t>
      </w:r>
      <w:r>
        <w:rPr>
          <w:rFonts w:hint="eastAsia" w:ascii="仿宋_GB2312" w:eastAsia="仿宋_GB2312"/>
          <w:sz w:val="32"/>
          <w:lang w:val="en-US" w:eastAsia="zh-CN"/>
        </w:rPr>
        <w:t>730301</w:t>
      </w:r>
    </w:p>
    <w:p w14:paraId="0493AEF2">
      <w:pPr>
        <w:pStyle w:val="30"/>
        <w:ind w:firstLine="640"/>
        <w:rPr>
          <w:rFonts w:hint="default"/>
        </w:rPr>
      </w:pPr>
      <w:bookmarkStart w:id="6" w:name="_Toc528154168"/>
      <w:bookmarkStart w:id="7" w:name="_Toc17984"/>
      <w:bookmarkStart w:id="8" w:name="_Toc3349"/>
      <w:bookmarkStart w:id="9" w:name="_Toc30968"/>
      <w:r>
        <w:t>二、</w:t>
      </w:r>
      <w:bookmarkEnd w:id="6"/>
      <w:bookmarkEnd w:id="7"/>
      <w:bookmarkEnd w:id="8"/>
      <w:bookmarkEnd w:id="9"/>
      <w:r>
        <w:t>入学要求</w:t>
      </w:r>
    </w:p>
    <w:p w14:paraId="2D844C1A">
      <w:pPr>
        <w:ind w:firstLine="640"/>
        <w:rPr>
          <w:rFonts w:hint="eastAsia" w:ascii="仿宋_GB2312" w:eastAsia="仿宋_GB2312"/>
          <w:sz w:val="32"/>
        </w:rPr>
      </w:pPr>
      <w:r>
        <w:rPr>
          <w:rFonts w:hint="eastAsia" w:ascii="仿宋_GB2312" w:eastAsia="仿宋_GB2312"/>
          <w:sz w:val="32"/>
        </w:rPr>
        <w:t>招生对象:应届初中毕业生或具有同等学力者</w:t>
      </w:r>
    </w:p>
    <w:p w14:paraId="3A09A97D">
      <w:pPr>
        <w:ind w:firstLine="640"/>
        <w:rPr>
          <w:rFonts w:hint="eastAsia" w:ascii="仿宋_GB2312" w:eastAsia="仿宋_GB2312"/>
          <w:sz w:val="32"/>
        </w:rPr>
      </w:pPr>
      <w:r>
        <w:rPr>
          <w:rFonts w:hint="eastAsia" w:ascii="仿宋_GB2312" w:eastAsia="仿宋_GB2312"/>
          <w:sz w:val="32"/>
        </w:rPr>
        <w:t>办学层次:中职</w:t>
      </w:r>
    </w:p>
    <w:p w14:paraId="5915A57D">
      <w:pPr>
        <w:pStyle w:val="30"/>
        <w:ind w:firstLine="640"/>
        <w:rPr>
          <w:rFonts w:hint="default"/>
        </w:rPr>
      </w:pPr>
      <w:r>
        <w:t>三、修业年限</w:t>
      </w:r>
    </w:p>
    <w:p w14:paraId="4E22F73F">
      <w:pPr>
        <w:pStyle w:val="34"/>
        <w:rPr>
          <w:rFonts w:hint="eastAsia"/>
        </w:rPr>
      </w:pPr>
      <w:r>
        <w:rPr>
          <w:rFonts w:hint="eastAsia"/>
        </w:rPr>
        <w:t>3年。凡达到本专业的基本要求，提前修满学分并取得规定证书的学生，经审批可以提前离校进行实习。</w:t>
      </w:r>
    </w:p>
    <w:p w14:paraId="6073D29D">
      <w:pPr>
        <w:pStyle w:val="30"/>
        <w:ind w:firstLine="640"/>
        <w:rPr>
          <w:rFonts w:hint="default"/>
        </w:rPr>
      </w:pPr>
      <w:r>
        <w:t>四、职业发展</w:t>
      </w:r>
      <w:bookmarkStart w:id="10" w:name="_Toc18385"/>
      <w:bookmarkStart w:id="11" w:name="_Toc3060"/>
      <w:bookmarkStart w:id="12" w:name="_Toc19468"/>
    </w:p>
    <w:p w14:paraId="466DE31D">
      <w:pPr>
        <w:pStyle w:val="31"/>
        <w:rPr>
          <w:rFonts w:hint="default"/>
        </w:rPr>
      </w:pPr>
      <w:r>
        <w:t xml:space="preserve">（一）对应职业和工作岗位 </w:t>
      </w:r>
    </w:p>
    <w:p w14:paraId="0909486C">
      <w:pPr>
        <w:pStyle w:val="34"/>
      </w:pPr>
      <w:r>
        <w:rPr>
          <w:rFonts w:hint="eastAsia"/>
        </w:rPr>
        <w:t>本专业毕业生主要面向中小型企、事业单位，从事基层会计核算、会计事务管理的工作，其对应职业岗位为出纳、收银、会计、统计等，拓展岗位为金融服务</w:t>
      </w:r>
      <w:r>
        <w:t>,</w:t>
      </w:r>
      <w:r>
        <w:rPr>
          <w:rFonts w:hint="eastAsia"/>
        </w:rPr>
        <w:t>保险业务办理、营销、文秘等。</w:t>
      </w:r>
    </w:p>
    <w:p w14:paraId="4E754EA6">
      <w:pPr>
        <w:pStyle w:val="31"/>
        <w:rPr>
          <w:rFonts w:hint="default"/>
        </w:rPr>
      </w:pPr>
      <w:r>
        <w:t>（二）对应职业资格证书</w:t>
      </w:r>
    </w:p>
    <w:p w14:paraId="08ADBC25">
      <w:pPr>
        <w:pStyle w:val="34"/>
      </w:pPr>
      <w:r>
        <w:t>1.</w:t>
      </w:r>
      <w:r>
        <w:rPr>
          <w:rFonts w:hint="eastAsia"/>
        </w:rPr>
        <w:t>通用能力证书。包括全国公共英语等级考试证书、国家计算机等级考试证书、珠算技术等级证书。</w:t>
      </w:r>
    </w:p>
    <w:p w14:paraId="7A394DA9">
      <w:pPr>
        <w:pStyle w:val="34"/>
      </w:pPr>
      <w:r>
        <w:t>2.</w:t>
      </w:r>
      <w:r>
        <w:rPr>
          <w:rFonts w:hint="eastAsia"/>
        </w:rPr>
        <w:t>专业职业资格证书。包括会计从业资格证书、统计从业资格证书、企业办税员国家职业资格证书、营销员国家职业资格证书、收银员职业资格证书、银行从业资格证书。</w:t>
      </w:r>
    </w:p>
    <w:p w14:paraId="3A972114">
      <w:pPr>
        <w:pStyle w:val="34"/>
      </w:pPr>
      <w:r>
        <w:t>3.</w:t>
      </w:r>
      <w:r>
        <w:rPr>
          <w:rFonts w:hint="eastAsia"/>
        </w:rPr>
        <w:t>其他社会类证书。全国信息化工程师</w:t>
      </w:r>
      <w:r>
        <w:t>ERP</w:t>
      </w:r>
      <w:r>
        <w:rPr>
          <w:rFonts w:hint="eastAsia"/>
        </w:rPr>
        <w:t>应用资格证书、知名企业会计软件基础认证证书。</w:t>
      </w:r>
    </w:p>
    <w:p w14:paraId="2BFFDF50">
      <w:pPr>
        <w:pStyle w:val="31"/>
        <w:rPr>
          <w:rFonts w:hint="default"/>
        </w:rPr>
      </w:pPr>
      <w:r>
        <w:t>（三）未来发展方向</w:t>
      </w:r>
    </w:p>
    <w:p w14:paraId="1813AD35">
      <w:pPr>
        <w:pStyle w:val="34"/>
      </w:pPr>
      <w:r>
        <w:rPr>
          <w:rFonts w:hint="eastAsia"/>
        </w:rPr>
        <w:t>本专业学生毕业时有直接就业和升学深造两个方向。</w:t>
      </w:r>
    </w:p>
    <w:p w14:paraId="3DEA74BF">
      <w:pPr>
        <w:pStyle w:val="34"/>
      </w:pPr>
      <w:r>
        <w:t>1.</w:t>
      </w:r>
      <w:r>
        <w:rPr>
          <w:rFonts w:hint="eastAsia"/>
        </w:rPr>
        <w:t>选择直接就业的学生可从事出纳、会计、收银、金融服务、保险业务办理、统计、营销、文秘等工作。通过工作、实践和进一步的学历提升，可继续通过考试取得初、中级会计专业技术资格，进而从事本专业要求更高的会计工作，并且在职务上得到提升。</w:t>
      </w:r>
    </w:p>
    <w:p w14:paraId="7AFBC432">
      <w:pPr>
        <w:pStyle w:val="34"/>
      </w:pPr>
      <w:r>
        <w:t>2.</w:t>
      </w:r>
      <w:r>
        <w:rPr>
          <w:rFonts w:hint="eastAsia"/>
        </w:rPr>
        <w:t>选择升学深造的学生可通过相应考试进入高等院校，高职层次对成的专业有会计、会计电算化、财务管理、会计与审计等，本科层次对应的专业有会计学、财务管理、经济与金融、大数据与会计、审计学、贸易经济等。</w:t>
      </w:r>
    </w:p>
    <w:p w14:paraId="1801EACE">
      <w:pPr>
        <w:ind w:firstLine="640"/>
        <w:rPr>
          <w:rFonts w:ascii="仿宋" w:eastAsia="仿宋"/>
          <w:sz w:val="32"/>
        </w:rPr>
      </w:pPr>
    </w:p>
    <w:bookmarkEnd w:id="10"/>
    <w:bookmarkEnd w:id="11"/>
    <w:bookmarkEnd w:id="12"/>
    <w:p w14:paraId="68A05915">
      <w:pPr>
        <w:pStyle w:val="30"/>
        <w:ind w:firstLine="640"/>
        <w:rPr>
          <w:rFonts w:hint="default"/>
        </w:rPr>
      </w:pPr>
      <w:r>
        <w:t>五、培养目标与培养规格</w:t>
      </w:r>
    </w:p>
    <w:p w14:paraId="659CD9D1">
      <w:pPr>
        <w:pStyle w:val="31"/>
        <w:rPr>
          <w:rFonts w:hint="default"/>
        </w:rPr>
      </w:pPr>
      <w:r>
        <w:t>（一）培养目标</w:t>
      </w:r>
    </w:p>
    <w:p w14:paraId="0448CE2B">
      <w:pPr>
        <w:pStyle w:val="34"/>
      </w:pPr>
      <w:r>
        <w:rPr>
          <w:rFonts w:hint="eastAsia"/>
        </w:rPr>
        <w:t>我们中职学校培养的学生不仅能就业，而且就业后还具有发展潜力(以与技能培训相区别)。</w:t>
      </w:r>
    </w:p>
    <w:p w14:paraId="701FA862">
      <w:pPr>
        <w:pStyle w:val="34"/>
      </w:pPr>
      <w:r>
        <w:rPr>
          <w:rFonts w:hint="eastAsia"/>
        </w:rPr>
        <w:t>具体来说，要求中职学生具备以下几方面素质。</w:t>
      </w:r>
    </w:p>
    <w:p w14:paraId="6446BDD1">
      <w:pPr>
        <w:pStyle w:val="34"/>
      </w:pPr>
      <w:r>
        <w:rPr>
          <w:rFonts w:hint="eastAsia"/>
        </w:rPr>
        <w:t>1.胜任会计工作的专业能力</w:t>
      </w:r>
    </w:p>
    <w:p w14:paraId="2C50A016">
      <w:pPr>
        <w:pStyle w:val="34"/>
      </w:pPr>
      <w:r>
        <w:rPr>
          <w:rFonts w:hint="eastAsia"/>
        </w:rPr>
        <w:t>中职学生毕业要具有胜任会计工作的专业能力。学生在校期间要进行知识、理论的学习，要进行技能的训练。其最终转化为或体现为专业能力。只有且备胜任会计工作专业能力的毕业生才有可能是合格的毕业生。 (当然专业能力强，不一定考试分数就高。当学校的测试体系与未来工作要求相适应时，专业能力与考试分数相关，且成正比例关系;当学校测试体系与未来工作要求脱节或相反时，考试分数则不一定反映专业能力。</w:t>
      </w:r>
    </w:p>
    <w:p w14:paraId="2DC1FB2F">
      <w:pPr>
        <w:pStyle w:val="34"/>
      </w:pPr>
      <w:r>
        <w:rPr>
          <w:rFonts w:hint="eastAsia"/>
        </w:rPr>
        <w:t>2.社会适应能力</w:t>
      </w:r>
    </w:p>
    <w:p w14:paraId="4A670AA7">
      <w:pPr>
        <w:pStyle w:val="34"/>
      </w:pPr>
      <w:r>
        <w:rPr>
          <w:rFonts w:hint="eastAsia"/>
        </w:rPr>
        <w:t>现在的人是“社会人”，必须在社会中生存、发展。中职学生要想在社会上生存立足，除了要其备专业能力外，还必须具备社会适应能力。具体来说，有以下几个主要方面:</w:t>
      </w:r>
    </w:p>
    <w:p w14:paraId="41332802">
      <w:pPr>
        <w:pStyle w:val="34"/>
      </w:pPr>
      <w:r>
        <w:rPr>
          <w:rFonts w:hint="eastAsia"/>
        </w:rPr>
        <w:t>（1）悦纳以职业道德为主的道德规范并内化为行为指南。道德是人们处理人与人、人与自然、人与社会关系的行为规范。其中很重要的一个方面是职业道德。职业通俗地讲是人们谋生的手段。职业道德则是人们谋生时必须遵循的行为规范。从长远来讲，不道德的行为将给行为人及社会带来不利益。中职学生要想在社会上谋生、立足，就要善于愉悦地接纳道德规范，并按其规定去做，且长期坚持内化为行为指南。这样，才能在所从事的行业中乃至社会上生存立足。</w:t>
      </w:r>
    </w:p>
    <w:p w14:paraId="03F03DF6">
      <w:pPr>
        <w:pStyle w:val="34"/>
      </w:pPr>
      <w:r>
        <w:rPr>
          <w:rFonts w:hint="eastAsia"/>
        </w:rPr>
        <w:t>（2）心理健康(心理调适能力)</w:t>
      </w:r>
    </w:p>
    <w:p w14:paraId="5CB33516">
      <w:pPr>
        <w:pStyle w:val="34"/>
        <w:rPr>
          <w:rFonts w:hint="eastAsia" w:eastAsia="仿宋_GB2312"/>
          <w:lang w:eastAsia="zh-CN"/>
        </w:rPr>
      </w:pPr>
      <w:r>
        <w:rPr>
          <w:rFonts w:hint="eastAsia"/>
        </w:rPr>
        <w:t>做为一个市场经济的竞争主体，必然有成功也有失败，有顺利也要面对挫折。而这些都会引发心理变化。剧烈的变化，可引发心理问题，甚至心理疾病。随着市场经济的发展，竞争程度的加深，心理问题将越来越突出。中职学生应具备一定的心理调适能力，应能够通过自己调适或求助于专业人士，保持心理健康，防止心理疾病的发生</w:t>
      </w:r>
      <w:r>
        <w:rPr>
          <w:rFonts w:hint="eastAsia"/>
          <w:lang w:eastAsia="zh-CN"/>
        </w:rPr>
        <w:t>。</w:t>
      </w:r>
    </w:p>
    <w:p w14:paraId="1A426457">
      <w:pPr>
        <w:pStyle w:val="34"/>
      </w:pPr>
      <w:r>
        <w:rPr>
          <w:rFonts w:hint="eastAsia"/>
        </w:rPr>
        <w:t>（3）公关或人际交往能力</w:t>
      </w:r>
    </w:p>
    <w:p w14:paraId="31F2B82C">
      <w:pPr>
        <w:pStyle w:val="34"/>
      </w:pPr>
      <w:r>
        <w:rPr>
          <w:rFonts w:hint="eastAsia"/>
        </w:rPr>
        <w:t>人是社会的人，不可能独自一人生活。马克思说:“人是社会关系的总和”。人要想生存于世，不可避免地要处理与他人与社会的各种各样的关系。而且随着社会的发展，全球一体化趋势的加强，生活在“地球村”中的人们之间的交往将更加频繁。在这种交往中。如何展示自己，取得对方信任、理解、支持;如何处理与对方的各种利害冲突，实现双赢;如何回应他人的友好或敌意，这些都要求中职学生要想立足于世，必须具有公关意识，具备公关能力，能很好地与人相处，拓展自己更大的生存空间，争取到有利于自己事业发展的良好人际环境。</w:t>
      </w:r>
    </w:p>
    <w:p w14:paraId="6873DE9B">
      <w:pPr>
        <w:pStyle w:val="34"/>
      </w:pPr>
      <w:r>
        <w:rPr>
          <w:rFonts w:hint="eastAsia"/>
        </w:rPr>
        <w:t>3.法制观念</w:t>
      </w:r>
    </w:p>
    <w:p w14:paraId="170BF01B">
      <w:pPr>
        <w:pStyle w:val="34"/>
      </w:pPr>
      <w:r>
        <w:rPr>
          <w:rFonts w:hint="eastAsia"/>
        </w:rPr>
        <w:t>市场经济是“法制经济”。随着我国社会的发展，法制将越来越完善，在社会中的作用也将日益重要。法制将成为我们行为的强制规则，违反者将受到国家强制力的惩罚。为了防止被惩罚，中职学生必须具有良好的法制观念。而目，中职学生以后也可能到国外发展，将受到所在国法律的约束。中职学生要知道哪些是允许做的，哪些是禁止做的;应该怎样做，不应该怎样做。要学会在法制框架内追求自己的利益最大化。</w:t>
      </w:r>
    </w:p>
    <w:p w14:paraId="1E671961">
      <w:pPr>
        <w:pStyle w:val="34"/>
      </w:pPr>
      <w:r>
        <w:rPr>
          <w:rFonts w:hint="eastAsia"/>
        </w:rPr>
        <w:t>4.胜任会计工作所需的身体(生理)条件</w:t>
      </w:r>
    </w:p>
    <w:p w14:paraId="1C0D7FD7">
      <w:pPr>
        <w:pStyle w:val="34"/>
      </w:pPr>
      <w:r>
        <w:rPr>
          <w:rFonts w:hint="eastAsia"/>
        </w:rPr>
        <w:t>因专业的不同，对胜任工作所需要的身体(生理)条件有不同的要求。如文字录入员可能要求手指灵活，而厨师则可能需要嗅觉、视觉灵敏。中职学生要通过训练具有相应的胜任会计工作所需的身体(生理)条件。</w:t>
      </w:r>
    </w:p>
    <w:p w14:paraId="252CD32F">
      <w:pPr>
        <w:pStyle w:val="34"/>
      </w:pPr>
      <w:r>
        <w:rPr>
          <w:rFonts w:hint="eastAsia"/>
        </w:rPr>
        <w:t>5.做为一个“社会人”所应具有的其他基本条件</w:t>
      </w:r>
    </w:p>
    <w:p w14:paraId="1DCF2CDB">
      <w:pPr>
        <w:pStyle w:val="34"/>
      </w:pPr>
      <w:r>
        <w:rPr>
          <w:rFonts w:hint="eastAsia"/>
        </w:rPr>
        <w:t>中职学校教台与短期培训的相同点在干都培养学生的专业能力，不同之处在干中职学校教台不仅要培养学生的专业能力使学生就业，而且还要培养学生未来发展的潜在能力，使其以后能发展。未来发展的潜在能力有许多方面，主要有以下几种;</w:t>
      </w:r>
    </w:p>
    <w:p w14:paraId="6CA70282">
      <w:pPr>
        <w:pStyle w:val="34"/>
      </w:pPr>
      <w:r>
        <w:rPr>
          <w:rFonts w:hint="eastAsia"/>
        </w:rPr>
        <w:t>1.对行业发展乃至社会发展的预测能力</w:t>
      </w:r>
    </w:p>
    <w:p w14:paraId="1A923667">
      <w:pPr>
        <w:pStyle w:val="34"/>
      </w:pPr>
      <w:r>
        <w:rPr>
          <w:rFonts w:hint="eastAsia"/>
        </w:rPr>
        <w:t>中职学生毕业后要能够根据行业及社会实际，通过对收集到的各种信息进行分析、整合、判断，对本行业的发展趋向有所预测。因为现在一生从事多种职业已成为普遍现象。这就要求中职毕业生要想得到很好地发展，不仅要对本行业的前景有预测能力，还要对相关行业或可能从事的行业乃至社会的发展做出预测。进而，能够根据行业及社会的发展要求，不断调适自己，以适应社会，立于不败之地。</w:t>
      </w:r>
    </w:p>
    <w:p w14:paraId="4D0BC3BA">
      <w:pPr>
        <w:pStyle w:val="34"/>
      </w:pPr>
      <w:r>
        <w:rPr>
          <w:rFonts w:hint="eastAsia"/>
        </w:rPr>
        <w:t>2.自我提高能力</w:t>
      </w:r>
    </w:p>
    <w:p w14:paraId="4D26BF29">
      <w:pPr>
        <w:pStyle w:val="34"/>
      </w:pPr>
      <w:r>
        <w:rPr>
          <w:rFonts w:hint="eastAsia"/>
        </w:rPr>
        <w:t>可以在毕业以后，通过书籍、音像、电视、网络、讲座等多种途径，不断进行提高，使自己的各方面素质不断提升，以适应社会的不断前进发展。不仅有本行业深入钻研的能力，而且要具有自我提高能力</w:t>
      </w:r>
    </w:p>
    <w:p w14:paraId="797B56B4">
      <w:pPr>
        <w:pStyle w:val="34"/>
      </w:pPr>
      <w:r>
        <w:rPr>
          <w:rFonts w:hint="eastAsia"/>
        </w:rPr>
        <w:t>3.创新能力(精神)</w:t>
      </w:r>
    </w:p>
    <w:p w14:paraId="5D0F94E8">
      <w:pPr>
        <w:pStyle w:val="34"/>
      </w:pPr>
      <w:r>
        <w:rPr>
          <w:rFonts w:hint="eastAsia"/>
        </w:rPr>
        <w:t>根据社会发展的需求，在现有基础上，创造出新的适合社会发展的事物。</w:t>
      </w:r>
    </w:p>
    <w:p w14:paraId="7B951DE5">
      <w:pPr>
        <w:pStyle w:val="31"/>
        <w:rPr>
          <w:rFonts w:hint="default"/>
        </w:rPr>
      </w:pPr>
      <w:r>
        <w:t>（二）基本知识要求</w:t>
      </w:r>
    </w:p>
    <w:p w14:paraId="0EF65B06">
      <w:pPr>
        <w:pStyle w:val="34"/>
      </w:pPr>
      <w:r>
        <w:rPr>
          <w:rFonts w:hint="eastAsia"/>
        </w:rPr>
        <w:t>1.理解本专业相关的经济、管理、营销等方面的基础知识；</w:t>
      </w:r>
    </w:p>
    <w:p w14:paraId="0B95C894">
      <w:pPr>
        <w:pStyle w:val="34"/>
      </w:pPr>
      <w:r>
        <w:rPr>
          <w:rFonts w:hint="eastAsia"/>
        </w:rPr>
        <w:t>2.掌握财税工作必需的相关财经法规知识和会计人员职业道德规范；</w:t>
      </w:r>
    </w:p>
    <w:p w14:paraId="730DE393">
      <w:pPr>
        <w:pStyle w:val="34"/>
      </w:pPr>
      <w:r>
        <w:rPr>
          <w:rFonts w:hint="eastAsia"/>
        </w:rPr>
        <w:t>3.掌握语文、数学、英语、计算机基础等本专业所需的公共基础知识；</w:t>
      </w:r>
    </w:p>
    <w:p w14:paraId="38646775">
      <w:pPr>
        <w:pStyle w:val="34"/>
      </w:pPr>
      <w:r>
        <w:rPr>
          <w:rFonts w:hint="eastAsia"/>
        </w:rPr>
        <w:t>4.掌握企业会计核算基础知识和工作流程。</w:t>
      </w:r>
    </w:p>
    <w:p w14:paraId="5BDECA2D">
      <w:pPr>
        <w:pStyle w:val="34"/>
      </w:pPr>
      <w:r>
        <w:rPr>
          <w:rFonts w:hint="eastAsia"/>
        </w:rPr>
        <w:t>5.掌握常用财务软件知识及其应用。</w:t>
      </w:r>
    </w:p>
    <w:p w14:paraId="023A6A7A">
      <w:pPr>
        <w:pStyle w:val="31"/>
        <w:rPr>
          <w:rFonts w:hint="default"/>
        </w:rPr>
      </w:pPr>
      <w:r>
        <w:t>（三）职业素质要求</w:t>
      </w:r>
    </w:p>
    <w:p w14:paraId="4F6E9004">
      <w:pPr>
        <w:pStyle w:val="34"/>
      </w:pPr>
      <w:r>
        <w:rPr>
          <w:rFonts w:hint="eastAsia"/>
        </w:rPr>
        <w:t>1.具有良好的思想道德素质和职业素养；</w:t>
      </w:r>
    </w:p>
    <w:p w14:paraId="736A3C71">
      <w:pPr>
        <w:pStyle w:val="34"/>
      </w:pPr>
      <w:r>
        <w:rPr>
          <w:rFonts w:hint="eastAsia"/>
        </w:rPr>
        <w:t>2.具有良好的职业创新意识、服务意识和团队合作精神；</w:t>
      </w:r>
    </w:p>
    <w:p w14:paraId="7AF00F62">
      <w:pPr>
        <w:pStyle w:val="34"/>
      </w:pPr>
      <w:r>
        <w:rPr>
          <w:rFonts w:hint="eastAsia"/>
        </w:rPr>
        <w:t>3.具有一定的人际交往能力、职业判断能力和语言文字表达能力。</w:t>
      </w:r>
    </w:p>
    <w:p w14:paraId="1C9BFE27">
      <w:pPr>
        <w:pStyle w:val="34"/>
      </w:pPr>
      <w:r>
        <w:rPr>
          <w:rFonts w:hint="eastAsia"/>
        </w:rPr>
        <w:t>4.具有较强的学习能力和一定的创业能力；</w:t>
      </w:r>
    </w:p>
    <w:p w14:paraId="55E5AE8B">
      <w:pPr>
        <w:pStyle w:val="34"/>
      </w:pPr>
      <w:r>
        <w:rPr>
          <w:rFonts w:hint="eastAsia"/>
        </w:rPr>
        <w:t>5.具有健康的体魄和良好的心理素质。</w:t>
      </w:r>
    </w:p>
    <w:p w14:paraId="6FD20261">
      <w:pPr>
        <w:pStyle w:val="31"/>
        <w:rPr>
          <w:rFonts w:hint="default"/>
        </w:rPr>
      </w:pPr>
      <w:r>
        <w:t>(四) 核心技能要求</w:t>
      </w:r>
    </w:p>
    <w:p w14:paraId="35F14F0D">
      <w:pPr>
        <w:pStyle w:val="34"/>
      </w:pPr>
      <w:r>
        <w:rPr>
          <w:rFonts w:hint="eastAsia"/>
        </w:rPr>
        <w:t>1.能熟练、正确进行各种结算单据填制、传递，具备办理货币资金收付业务的能力；</w:t>
      </w:r>
    </w:p>
    <w:p w14:paraId="05B5E408">
      <w:pPr>
        <w:pStyle w:val="34"/>
      </w:pPr>
      <w:r>
        <w:rPr>
          <w:rFonts w:hint="eastAsia"/>
        </w:rPr>
        <w:t>2.具备点钞、验钞、传票翻打、中英文及数字录入、会计数字书写等基本职能；</w:t>
      </w:r>
    </w:p>
    <w:p w14:paraId="3539169E">
      <w:pPr>
        <w:pStyle w:val="34"/>
      </w:pPr>
      <w:r>
        <w:rPr>
          <w:rFonts w:hint="eastAsia"/>
        </w:rPr>
        <w:t>3.具备收银技能，能快速规范的完成收银操作流程；</w:t>
      </w:r>
    </w:p>
    <w:p w14:paraId="60CC10A2">
      <w:pPr>
        <w:pStyle w:val="34"/>
      </w:pPr>
      <w:r>
        <w:rPr>
          <w:rFonts w:hint="eastAsia"/>
        </w:rPr>
        <w:t>4.具备企业会计核算能力，能进行日常核算、主要报表基本指标分析；</w:t>
      </w:r>
    </w:p>
    <w:p w14:paraId="191002CB">
      <w:pPr>
        <w:pStyle w:val="34"/>
      </w:pPr>
      <w:r>
        <w:rPr>
          <w:rFonts w:hint="eastAsia"/>
        </w:rPr>
        <w:t>5.具备涉税业务办理能力，能进行基本税种的计算和申报；</w:t>
      </w:r>
    </w:p>
    <w:p w14:paraId="3A11B8D7">
      <w:pPr>
        <w:pStyle w:val="34"/>
      </w:pPr>
      <w:r>
        <w:rPr>
          <w:rFonts w:hint="eastAsia"/>
        </w:rPr>
        <w:t>6.能熟练运用常用财务软件；</w:t>
      </w:r>
    </w:p>
    <w:p w14:paraId="276A747F">
      <w:pPr>
        <w:pStyle w:val="34"/>
        <w:rPr>
          <w:rFonts w:ascii="黑体" w:hAnsi="黑体" w:eastAsia="黑体"/>
        </w:rPr>
      </w:pPr>
      <w:r>
        <w:rPr>
          <w:rFonts w:hint="eastAsia"/>
        </w:rPr>
        <w:t>7.具备根据财经法规监督企业经济活动的能力。</w:t>
      </w:r>
      <w:bookmarkStart w:id="13" w:name="_Toc528154171"/>
    </w:p>
    <w:p w14:paraId="60B57954">
      <w:pPr>
        <w:pStyle w:val="30"/>
        <w:ind w:firstLine="640"/>
        <w:rPr>
          <w:rFonts w:hint="default"/>
        </w:rPr>
      </w:pPr>
      <w:r>
        <w:t>六、</w:t>
      </w:r>
      <w:bookmarkEnd w:id="13"/>
      <w:r>
        <w:t>课程设置及要求</w:t>
      </w:r>
    </w:p>
    <w:p w14:paraId="2DEEA4B3">
      <w:pPr>
        <w:pStyle w:val="31"/>
        <w:rPr>
          <w:rFonts w:hint="default"/>
        </w:rPr>
      </w:pPr>
      <w:r>
        <w:t>（一） 使用年级</w:t>
      </w:r>
    </w:p>
    <w:p w14:paraId="14382BC9">
      <w:pPr>
        <w:pStyle w:val="34"/>
      </w:pPr>
      <w:r>
        <w:rPr>
          <w:rFonts w:hint="eastAsia"/>
        </w:rPr>
        <w:t>202</w:t>
      </w:r>
      <w:r>
        <w:rPr>
          <w:rFonts w:hint="eastAsia"/>
          <w:lang w:val="en-US" w:eastAsia="zh-CN"/>
        </w:rPr>
        <w:t>5</w:t>
      </w:r>
      <w:r>
        <w:rPr>
          <w:rFonts w:hint="eastAsia"/>
        </w:rPr>
        <w:t>级入学新生</w:t>
      </w:r>
    </w:p>
    <w:p w14:paraId="5D45635B">
      <w:pPr>
        <w:pStyle w:val="31"/>
        <w:rPr>
          <w:rFonts w:hint="default"/>
        </w:rPr>
      </w:pPr>
      <w:r>
        <w:t>（二）课程设置的基本要求</w:t>
      </w:r>
    </w:p>
    <w:p w14:paraId="5496490F">
      <w:pPr>
        <w:pStyle w:val="34"/>
      </w:pPr>
      <w:r>
        <w:rPr>
          <w:rFonts w:hint="eastAsia"/>
        </w:rPr>
        <w:t>本专业课程设置分为公共基础课程、专业基础课程、专业技能课程、专业方向课程和选修课五类。</w:t>
      </w:r>
    </w:p>
    <w:p w14:paraId="74694309">
      <w:pPr>
        <w:pStyle w:val="34"/>
      </w:pPr>
      <w:r>
        <w:rPr>
          <w:rFonts w:hint="eastAsia"/>
        </w:rPr>
        <w:t>l.公共基础课程</w:t>
      </w:r>
    </w:p>
    <w:p w14:paraId="7A3A509C">
      <w:pPr>
        <w:pStyle w:val="34"/>
      </w:pPr>
      <w:r>
        <w:rPr>
          <w:rFonts w:hint="eastAsia"/>
        </w:rPr>
        <w:t>公共基础课程其任务是引导学生树立正确的世界观、人生观和价值观，提高学生思想道德和职业文化素养和科学文化水平，为专业知识的学习和职业技能的培养奠定基础，满足学生职业生涯发展和终身学习的需要，公共基础必修课程的教学大纲由国家统一制定，学习应达到国家规定的基本要求。</w:t>
      </w:r>
    </w:p>
    <w:p w14:paraId="63EFBD20">
      <w:pPr>
        <w:pStyle w:val="34"/>
      </w:pPr>
      <w:r>
        <w:rPr>
          <w:rFonts w:hint="eastAsia"/>
        </w:rPr>
        <w:t>2.专业基础课程</w:t>
      </w:r>
    </w:p>
    <w:p w14:paraId="0A2AFF29">
      <w:pPr>
        <w:pStyle w:val="34"/>
      </w:pPr>
      <w:r>
        <w:rPr>
          <w:rFonts w:hint="eastAsia"/>
        </w:rPr>
        <w:t>专业基础课是同专业知识、技能直接联系的基本课程。要求我们在本专业初开设，为更好的学习专业课程，奠定基础。</w:t>
      </w:r>
    </w:p>
    <w:p w14:paraId="27F9022A">
      <w:pPr>
        <w:pStyle w:val="34"/>
      </w:pPr>
      <w:r>
        <w:rPr>
          <w:rFonts w:hint="eastAsia"/>
        </w:rPr>
        <w:t>3.专业技能课程</w:t>
      </w:r>
    </w:p>
    <w:p w14:paraId="486B3979">
      <w:pPr>
        <w:pStyle w:val="34"/>
      </w:pPr>
      <w:r>
        <w:rPr>
          <w:rFonts w:hint="eastAsia"/>
        </w:rPr>
        <w:t>专业技能课程分为专业基础必修课程、技能方向必修课程和专业拓展选修课程三部分。其任务是培养学生掌握必要的专业知识和熟练的职业技能，培养学生爱岗敬业的职业品质，提高学生就业、创业的能力和适应职业变化的能力。专业技能课程按照相应职业岗位（群）的能力要求，采用“9门专业基础必修课程+6门技能方向必修课程十2专业拓展选修课程”的课群结构，其内容既紧密联系生产实践和社会实践，突出应用性和实践性，又与会计从业资格证考试要求相结合。</w:t>
      </w:r>
    </w:p>
    <w:p w14:paraId="27930CB5">
      <w:pPr>
        <w:pStyle w:val="34"/>
      </w:pPr>
      <w:r>
        <w:rPr>
          <w:rFonts w:hint="eastAsia"/>
        </w:rPr>
        <w:t>4.专业方向课程</w:t>
      </w:r>
    </w:p>
    <w:p w14:paraId="30F5B6A8">
      <w:pPr>
        <w:pStyle w:val="34"/>
      </w:pPr>
      <w:r>
        <w:rPr>
          <w:rFonts w:hint="eastAsia"/>
        </w:rPr>
        <w:t>专业技能课程分为专业基础必修课程、技能方向必修课程和专业拓展选修课程三部分。其任务是培养学生掌握必要的专业知识和熟练的职业技能，培养学生爱岗敬业的职业品质，提高学生就业、创业的能力和适应职业变化的能力。专业技能课程按照相应职业岗位（群）的能力要求，采用“9门专业基础必修课程+6门技能方向必修课程十2专业拓展选修课程”的课群结构，其内容既紧密联系生产实践和社会实践，突出应用性和实践性，又与会计从业资格证考试要求相结合</w:t>
      </w:r>
    </w:p>
    <w:p w14:paraId="0F90D3B6">
      <w:pPr>
        <w:pStyle w:val="34"/>
      </w:pPr>
      <w:r>
        <w:rPr>
          <w:rFonts w:hint="eastAsia"/>
        </w:rPr>
        <w:t>5.选修课</w:t>
      </w:r>
    </w:p>
    <w:p w14:paraId="59C384F8">
      <w:pPr>
        <w:pStyle w:val="34"/>
        <w:rPr>
          <w:sz w:val="28"/>
          <w:szCs w:val="28"/>
        </w:rPr>
      </w:pPr>
      <w:r>
        <w:rPr>
          <w:rFonts w:hint="eastAsia"/>
        </w:rPr>
        <w:t>选修课的实质是为了打破学生需要及受教育程度的限制，有选择地学习的课程。拓宽学生的知识面，丰富学生的专业修养。</w:t>
      </w:r>
    </w:p>
    <w:p w14:paraId="4805099A">
      <w:pPr>
        <w:pStyle w:val="34"/>
        <w:rPr>
          <w:sz w:val="28"/>
          <w:szCs w:val="28"/>
        </w:rPr>
      </w:pPr>
    </w:p>
    <w:p w14:paraId="5777317D">
      <w:pPr>
        <w:pStyle w:val="34"/>
        <w:rPr>
          <w:rFonts w:hAnsi="宋体"/>
          <w:sz w:val="28"/>
          <w:szCs w:val="28"/>
        </w:rPr>
      </w:pPr>
    </w:p>
    <w:p w14:paraId="1601E0D8">
      <w:pPr>
        <w:spacing w:line="580" w:lineRule="exact"/>
        <w:ind w:firstLine="640"/>
        <w:rPr>
          <w:rFonts w:ascii="仿宋_GB2312" w:hAnsi="宋体"/>
          <w:sz w:val="28"/>
          <w:szCs w:val="28"/>
        </w:rPr>
      </w:pPr>
      <w:r>
        <w:rPr>
          <w:sz w:val="32"/>
        </w:rPr>
        <mc:AlternateContent>
          <mc:Choice Requires="wps">
            <w:drawing>
              <wp:anchor distT="0" distB="0" distL="114300" distR="114300" simplePos="0" relativeHeight="251660288" behindDoc="0" locked="0" layoutInCell="1" allowOverlap="1">
                <wp:simplePos x="0" y="0"/>
                <wp:positionH relativeFrom="column">
                  <wp:posOffset>887730</wp:posOffset>
                </wp:positionH>
                <wp:positionV relativeFrom="paragraph">
                  <wp:posOffset>-76200</wp:posOffset>
                </wp:positionV>
                <wp:extent cx="3917950" cy="487680"/>
                <wp:effectExtent l="0" t="0" r="6350" b="7620"/>
                <wp:wrapNone/>
                <wp:docPr id="3" name="文本框 3"/>
                <wp:cNvGraphicFramePr/>
                <a:graphic xmlns:a="http://schemas.openxmlformats.org/drawingml/2006/main">
                  <a:graphicData uri="http://schemas.microsoft.com/office/word/2010/wordprocessingShape">
                    <wps:wsp>
                      <wps:cNvSpPr txBox="1"/>
                      <wps:spPr>
                        <a:xfrm>
                          <a:off x="0" y="0"/>
                          <a:ext cx="3917950" cy="487680"/>
                        </a:xfrm>
                        <a:prstGeom prst="rect">
                          <a:avLst/>
                        </a:prstGeom>
                        <a:solidFill>
                          <a:srgbClr val="FFFFFF"/>
                        </a:solidFill>
                        <a:ln>
                          <a:noFill/>
                        </a:ln>
                      </wps:spPr>
                      <wps:txbx>
                        <w:txbxContent>
                          <w:p w14:paraId="346FFE3B">
                            <w:pPr>
                              <w:ind w:firstLine="643"/>
                              <w:rPr>
                                <w:rFonts w:ascii="仿宋" w:hAnsi="仿宋" w:eastAsia="仿宋" w:cs="仿宋"/>
                                <w:b/>
                                <w:sz w:val="32"/>
                                <w:szCs w:val="32"/>
                              </w:rPr>
                            </w:pPr>
                            <w:r>
                              <w:rPr>
                                <w:rFonts w:hint="eastAsia" w:ascii="仿宋" w:hAnsi="仿宋" w:eastAsia="仿宋" w:cs="仿宋"/>
                                <w:b/>
                                <w:sz w:val="32"/>
                                <w:szCs w:val="32"/>
                              </w:rPr>
                              <w:t>会计专业课程结构框架如图一</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69.9pt;margin-top:-6pt;height:38.4pt;width:308.5pt;z-index:251660288;mso-width-relative:page;mso-height-relative:margin;mso-height-percent:200;" fillcolor="#FFFFFF" filled="t" stroked="f" coordsize="21600,21600" o:gfxdata="UEsDBAoAAAAAAIdO4kAAAAAAAAAAAAAAAAAEAAAAZHJzL1BLAwQUAAAACACHTuJAlpQgxNgAAAAK&#10;AQAADwAAAGRycy9kb3ducmV2LnhtbE2PzU7DMBCE70i8g7VI3FonhYYS4lSIigsHJAoSHN14E0f4&#10;T7abhrdnOdHjzI5mv2m2szVswphG7wSUywIYus6r0Q0CPt6fFxtgKUunpPEOBfxggm17edHIWvmT&#10;e8NpnwdGJS7VUoDOOdScp06jlWnpAzq69T5amUnGgasoT1RuDV8VRcWtHB190DLgk8bue3+0Aj6t&#10;HtUuvn71yky7l/5xHeYYhLi+KosHYBnn/B+GP3xCh5aYDv7oVGKG9M09oWcBi3JFoyhxt67IOQio&#10;bjfA24afT2h/AVBLAwQUAAAACACHTuJAmq7+rdkBAACfAwAADgAAAGRycy9lMm9Eb2MueG1srVNL&#10;ktMwEN1TxR1U2hMnE5jJpOJMAamwoYCqgQMosmyrSj+6ldi5ANyAFRv2c66cg5bsycCwmQVe2FJ/&#10;nt57aq9uemvYQQFq70o+m0w5U076Srum5F8+b18sOMMoXCWMd6rkR4X8Zv382aoLS3XhW28qBYxA&#10;HC67UPI2xrAsCpStsgInPihHydqDFZG20BQViI7QrSkuptPLovNQBfBSIVJ0MyT5iAhPAfR1raXa&#10;eLm3ysUBFZQRkSRhqwPydWZb10rGj3WNKjJTclIa85sOofUuvYv1SiwbEKHVcqQgnkLhkSYrtKND&#10;z1AbEQXbg/4HymoJHn0dJ9LbYhCSHSEVs+kjb25bEVTWQlZjOJuO/w9Wfjh8Aqarks85c8LShZ9+&#10;fD/9vDv9+sbmyZ4u4JKqbgPVxf6N72lo7uNIwaS6r8GmL+lhlCdzj2dzVR+ZpOD8enZ1/YpSknIv&#10;F1eXi+x+8dAdAOM75S1Li5IDXV72VBzeYyQmVHpfkg5Db3S11cbkDTS7twbYQdBFb/OTSFLLX2XG&#10;pWLnU9uQTpEiaRy0pFXsd/0ofOerI+nuaEBKjl/3AhRn+wC6aYnhLNPD8HofCTFTTP1D0whL95Zp&#10;jDOWBuPPfa56+K/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WlCDE2AAAAAoBAAAPAAAAAAAA&#10;AAEAIAAAACIAAABkcnMvZG93bnJldi54bWxQSwECFAAUAAAACACHTuJAmq7+rdkBAACfAwAADgAA&#10;AAAAAAABACAAAAAnAQAAZHJzL2Uyb0RvYy54bWxQSwUGAAAAAAYABgBZAQAAcgUAAAAA&#10;">
                <v:fill on="t" focussize="0,0"/>
                <v:stroke on="f"/>
                <v:imagedata o:title=""/>
                <o:lock v:ext="edit" aspectratio="f"/>
                <v:textbox style="mso-fit-shape-to-text:t;">
                  <w:txbxContent>
                    <w:p w14:paraId="346FFE3B">
                      <w:pPr>
                        <w:ind w:firstLine="643"/>
                        <w:rPr>
                          <w:rFonts w:ascii="仿宋" w:hAnsi="仿宋" w:eastAsia="仿宋" w:cs="仿宋"/>
                          <w:b/>
                          <w:sz w:val="32"/>
                          <w:szCs w:val="32"/>
                        </w:rPr>
                      </w:pPr>
                      <w:r>
                        <w:rPr>
                          <w:rFonts w:hint="eastAsia" w:ascii="仿宋" w:hAnsi="仿宋" w:eastAsia="仿宋" w:cs="仿宋"/>
                          <w:b/>
                          <w:sz w:val="32"/>
                          <w:szCs w:val="32"/>
                        </w:rPr>
                        <w:t>会计专业课程结构框架如图一</w:t>
                      </w:r>
                    </w:p>
                  </w:txbxContent>
                </v:textbox>
              </v:shape>
            </w:pict>
          </mc:Fallback>
        </mc:AlternateContent>
      </w:r>
      <w:r>
        <w:rPr>
          <w:sz w:val="32"/>
        </w:rPr>
        <w:drawing>
          <wp:anchor distT="0" distB="0" distL="114300" distR="114300" simplePos="0" relativeHeight="251659264" behindDoc="0" locked="0" layoutInCell="1" allowOverlap="1">
            <wp:simplePos x="0" y="0"/>
            <wp:positionH relativeFrom="column">
              <wp:posOffset>-266700</wp:posOffset>
            </wp:positionH>
            <wp:positionV relativeFrom="paragraph">
              <wp:posOffset>438150</wp:posOffset>
            </wp:positionV>
            <wp:extent cx="5476875" cy="8296275"/>
            <wp:effectExtent l="0" t="0" r="9525" b="9525"/>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476875" cy="8296275"/>
                    </a:xfrm>
                    <a:prstGeom prst="rect">
                      <a:avLst/>
                    </a:prstGeom>
                    <a:noFill/>
                    <a:ln>
                      <a:noFill/>
                    </a:ln>
                  </pic:spPr>
                </pic:pic>
              </a:graphicData>
            </a:graphic>
          </wp:anchor>
        </w:drawing>
      </w:r>
    </w:p>
    <w:p w14:paraId="2FB39566">
      <w:pPr>
        <w:pStyle w:val="30"/>
        <w:ind w:firstLine="640"/>
        <w:rPr>
          <w:rFonts w:hint="default"/>
        </w:rPr>
      </w:pPr>
      <w:r>
        <w:t>六、课程设置与教学要求</w:t>
      </w:r>
    </w:p>
    <w:p w14:paraId="0636D418">
      <w:pPr>
        <w:pStyle w:val="31"/>
        <w:rPr>
          <w:rFonts w:hint="default"/>
        </w:rPr>
      </w:pPr>
      <w:r>
        <w:t>（一）公共基础课程</w:t>
      </w:r>
    </w:p>
    <w:p w14:paraId="04AB0E43">
      <w:pPr>
        <w:pStyle w:val="34"/>
      </w:pPr>
      <w:r>
        <w:t>1.</w:t>
      </w:r>
      <w:r>
        <w:rPr>
          <w:rFonts w:hint="eastAsia"/>
        </w:rPr>
        <w:t>语文（</w:t>
      </w:r>
      <w:r>
        <w:rPr>
          <w:rFonts w:hint="eastAsia"/>
          <w:lang w:val="en-US" w:eastAsia="zh-CN"/>
        </w:rPr>
        <w:t>212</w:t>
      </w:r>
      <w:r>
        <w:rPr>
          <w:rFonts w:hint="eastAsia"/>
        </w:rPr>
        <w:t>学时</w:t>
      </w:r>
      <w:r>
        <w:t>)</w:t>
      </w:r>
    </w:p>
    <w:p w14:paraId="3E53659F">
      <w:pPr>
        <w:pStyle w:val="34"/>
      </w:pPr>
      <w:r>
        <w:rPr>
          <w:rFonts w:hint="eastAsia"/>
        </w:rPr>
        <w:t>本课程是财税专业必修的公共基础课程。在素质教育的基础上，培养学生热爱祖国语言文字的思想感情，进一步提高正确理解与运用祖国语言文字的能力，提高科学文化素养，以适应就业和创业的需要；指导学生学习必需的语文基础知识，培养日常生活和职业岗位需要的现代文阅读能力、写作能力、口语交际能力，具有初步的文学作品欣赏能力；指导学生掌握基本的语文学习方法，养成自学和运用语文的良好习惯；引导学生重视语言的积累和感悟，接受优秀文的熏陶，提高思想品德修养和审美情趣，形成良好个性和健全的人格，促进修职业生涯的发展。</w:t>
      </w:r>
    </w:p>
    <w:p w14:paraId="72A75219">
      <w:pPr>
        <w:pStyle w:val="34"/>
      </w:pPr>
      <w:r>
        <w:t>2.</w:t>
      </w:r>
      <w:r>
        <w:rPr>
          <w:rFonts w:hint="eastAsia"/>
        </w:rPr>
        <w:t>思政</w:t>
      </w:r>
      <w:r>
        <w:t>(</w:t>
      </w:r>
      <w:r>
        <w:rPr>
          <w:rFonts w:hint="eastAsia"/>
          <w:lang w:val="en-US" w:eastAsia="zh-CN"/>
        </w:rPr>
        <w:t>基础模块144学时，拓展模块36学时</w:t>
      </w:r>
      <w:r>
        <w:t>)</w:t>
      </w:r>
    </w:p>
    <w:p w14:paraId="600815EB">
      <w:pPr>
        <w:pStyle w:val="34"/>
      </w:pPr>
      <w:r>
        <w:rPr>
          <w:rFonts w:hint="eastAsia"/>
        </w:rPr>
        <w:t>本课程是财税专业学生必修的公共基础课程，是学校德育工作的主渠道，是学校实施素质教育的重要内容。主要对学生进行思想政治教育、道德教育、法纪教育、职业生涯和职业理想教育，不断提高学生的思想政治素质、职业道德素质和法律素质，促进学生的全面健康发展。通过学习，引导学生根据社会需要和自身特点进行职业生涯规划，树立正确的职业观念和职业理想</w:t>
      </w:r>
      <w:r>
        <w:t>;</w:t>
      </w:r>
      <w:r>
        <w:rPr>
          <w:rFonts w:hint="eastAsia"/>
        </w:rPr>
        <w:t>增强社会主义法治意识，积极践行社会主义核心价位观；认同我国的经济、政冶制度，坚定走中国特色社会主义道路的信心；正确认识和处理人生发展中的基本问题，自觉把个人理想融入中国特色社会主义共同理想，把个人奋斗融入实现社会主义现代化和中华民族伟大复兴宏伟目标，逐步形成正确的世界观、人生观和价值观。</w:t>
      </w:r>
    </w:p>
    <w:p w14:paraId="4399E1EC">
      <w:pPr>
        <w:pStyle w:val="34"/>
      </w:pPr>
      <w:r>
        <w:t>3.</w:t>
      </w:r>
      <w:r>
        <w:rPr>
          <w:rFonts w:hint="eastAsia"/>
        </w:rPr>
        <w:t>数学</w:t>
      </w:r>
      <w:r>
        <w:t>(</w:t>
      </w:r>
      <w:r>
        <w:rPr>
          <w:rFonts w:hint="eastAsia"/>
          <w:lang w:val="en-US" w:eastAsia="zh-CN"/>
        </w:rPr>
        <w:t>2</w:t>
      </w:r>
      <w:r>
        <w:t>12</w:t>
      </w:r>
      <w:r>
        <w:rPr>
          <w:rFonts w:hint="eastAsia"/>
        </w:rPr>
        <w:t>学时</w:t>
      </w:r>
      <w:r>
        <w:t>)</w:t>
      </w:r>
    </w:p>
    <w:p w14:paraId="7237ED48">
      <w:pPr>
        <w:pStyle w:val="34"/>
      </w:pPr>
      <w:r>
        <w:rPr>
          <w:rFonts w:hint="eastAsia"/>
        </w:rPr>
        <w:t>本课程是财税专业必修的公共基础课程。在素质教育的基础上，使学生进一步学习并掌握生活和职业岗位必需的数学基础知识，掌握计算技能、计算工具的使用技能、数据处理技能；培养观察能力、空间想象能力、分析及解决问题能力、初步的数学思维能力等；引导学生逐步养成良好的学习习惯，具有实践意识和创新意识，培养实事求是的科学态度，提高学生就业创业的能力。</w:t>
      </w:r>
    </w:p>
    <w:p w14:paraId="42A21F93">
      <w:pPr>
        <w:pStyle w:val="34"/>
      </w:pPr>
      <w:r>
        <w:t>4.</w:t>
      </w:r>
      <w:r>
        <w:rPr>
          <w:rFonts w:hint="eastAsia"/>
        </w:rPr>
        <w:t>英语</w:t>
      </w:r>
      <w:r>
        <w:t>(</w:t>
      </w:r>
      <w:r>
        <w:rPr>
          <w:rFonts w:hint="eastAsia"/>
          <w:lang w:val="en-US" w:eastAsia="zh-CN"/>
        </w:rPr>
        <w:t>256</w:t>
      </w:r>
      <w:r>
        <w:rPr>
          <w:rFonts w:hint="eastAsia"/>
        </w:rPr>
        <w:t>学时</w:t>
      </w:r>
      <w:r>
        <w:t>)</w:t>
      </w:r>
    </w:p>
    <w:p w14:paraId="203D03EC">
      <w:pPr>
        <w:pStyle w:val="34"/>
        <w:rPr>
          <w:sz w:val="28"/>
          <w:szCs w:val="28"/>
        </w:rPr>
      </w:pPr>
      <w:r>
        <w:rPr>
          <w:rFonts w:hint="eastAsia"/>
        </w:rPr>
        <w:t>本课程是财税专业必修的公共基础课程。在素质教育基础上，使学生进一步学习英语基础知识，培养听、说、读、写等语言技能，初步形成职场英语的应用能力，能借助词典等工具书读懂与专业相关的简单技术、业务资料，如产品说明、广告和操作说明等，并能通过网络查询相关信息</w:t>
      </w:r>
      <w:r>
        <w:t>;</w:t>
      </w:r>
      <w:r>
        <w:rPr>
          <w:rFonts w:hint="eastAsia"/>
        </w:rPr>
        <w:t>激发和培养学生学习英语的兴趣，提高学生学习的自信心，帮助学生掌握学习策略，养成良好的学习习惯，提高自主学习能力</w:t>
      </w:r>
      <w:r>
        <w:t>;</w:t>
      </w:r>
      <w:r>
        <w:rPr>
          <w:rFonts w:hint="eastAsia"/>
        </w:rPr>
        <w:t>引导学生了解、认识中西方文化差异，培养正确的情感、态度和价值观。</w:t>
      </w:r>
    </w:p>
    <w:p w14:paraId="775577D0">
      <w:pPr>
        <w:pStyle w:val="34"/>
      </w:pPr>
      <w:r>
        <w:t>5.</w:t>
      </w:r>
      <w:r>
        <w:rPr>
          <w:rFonts w:hint="eastAsia"/>
        </w:rPr>
        <w:t>计算机应用基础</w:t>
      </w:r>
      <w:r>
        <w:t>(64</w:t>
      </w:r>
      <w:r>
        <w:rPr>
          <w:rFonts w:hint="eastAsia"/>
        </w:rPr>
        <w:t>学时</w:t>
      </w:r>
      <w:r>
        <w:t>)</w:t>
      </w:r>
    </w:p>
    <w:p w14:paraId="6CEA7BAA">
      <w:pPr>
        <w:pStyle w:val="34"/>
      </w:pPr>
      <w:r>
        <w:rPr>
          <w:rFonts w:hint="eastAsia"/>
        </w:rPr>
        <w:t>本课程是财税专业必修的公共基础课程。主要学习计算机的基本知识及基本操作，初步具有计算机基本操作、办公应用、网络应用、多媒体技术应用等基本技能，能正确使用现代办公中的文字处理、表格设计、演示文稿、网上浏览、电子邮件通信等常用软件，能利用计算机知识解决学习、工作、生活中常见的问题。同时，体验利用计算机技术获取信息、处理信息、发布信息的过程，逐渐养成独立思考、主动探究的学习方法，培养严谨的科学态度和团队协作意识，为学生进一步学习计算机有关知识打下基础。</w:t>
      </w:r>
    </w:p>
    <w:p w14:paraId="625EDC3D">
      <w:pPr>
        <w:pStyle w:val="34"/>
      </w:pPr>
      <w:r>
        <w:t>6.</w:t>
      </w:r>
      <w:r>
        <w:rPr>
          <w:rFonts w:hint="eastAsia"/>
        </w:rPr>
        <w:t>体育与健康</w:t>
      </w:r>
      <w:r>
        <w:t>(64</w:t>
      </w:r>
      <w:r>
        <w:rPr>
          <w:rFonts w:hint="eastAsia"/>
        </w:rPr>
        <w:t>学时</w:t>
      </w:r>
      <w:r>
        <w:t>)</w:t>
      </w:r>
    </w:p>
    <w:p w14:paraId="2FE229AF">
      <w:pPr>
        <w:pStyle w:val="34"/>
      </w:pPr>
      <w:r>
        <w:rPr>
          <w:rFonts w:hint="eastAsia"/>
        </w:rPr>
        <w:t>本课程是财税专业必修的公共基础课程。是以促进学生体质与健康发展为主要目标的综合类课程，是实施素质教育和培养德、智、体、美全面发展的高素质劳动者和技能型人才不可缺少的重要途径。主要学习体育与健康的基本知识、体育技能和方法，以身体练习为主要手段，树立“健康第一”的指导思想，通过科学指导和安排体育锻炼过程，培养学生健康的人格，增强体能素质，提高综合职业能力，培养终身从事体育锻炼的意识、能力与习惯，提高生活质量，为全面促进学生身体健康、心理健康和社会适应能力服务。</w:t>
      </w:r>
    </w:p>
    <w:p w14:paraId="4DF6E172">
      <w:pPr>
        <w:pStyle w:val="34"/>
      </w:pPr>
      <w:r>
        <w:t>7.</w:t>
      </w:r>
      <w:r>
        <w:rPr>
          <w:rFonts w:hint="eastAsia"/>
        </w:rPr>
        <w:t>美术与音乐</w:t>
      </w:r>
      <w:r>
        <w:t>(64</w:t>
      </w:r>
      <w:r>
        <w:rPr>
          <w:rFonts w:hint="eastAsia"/>
        </w:rPr>
        <w:t>学时</w:t>
      </w:r>
      <w:r>
        <w:t>)</w:t>
      </w:r>
    </w:p>
    <w:p w14:paraId="29B421BB">
      <w:pPr>
        <w:pStyle w:val="34"/>
      </w:pPr>
      <w:r>
        <w:rPr>
          <w:rFonts w:hint="eastAsia"/>
        </w:rPr>
        <w:t>本课程是财税专业必修的公共基础课程。通过艺术作品赏析和艺术实践活动，使学生了解或掌握不同门类艺术的基本知识、技能和原理，引导学生树立正确的世界观、人生观和价值观，增强文化自觉与文化自信，丰富学生人文素养与精神世界，培养学生艺术欣赏能力，提高学生文化品位和审美素质，培养学生职业素养、创新能力和合作意识。</w:t>
      </w:r>
    </w:p>
    <w:p w14:paraId="36E33AA7">
      <w:pPr>
        <w:pStyle w:val="34"/>
      </w:pPr>
      <w:r>
        <w:t>8.</w:t>
      </w:r>
      <w:r>
        <w:rPr>
          <w:rFonts w:hint="eastAsia"/>
        </w:rPr>
        <w:t>职业生涯规划</w:t>
      </w:r>
      <w:r>
        <w:t>(</w:t>
      </w:r>
      <w:r>
        <w:rPr>
          <w:rFonts w:hint="eastAsia"/>
          <w:lang w:val="en-US" w:eastAsia="zh-CN"/>
        </w:rPr>
        <w:t>32</w:t>
      </w:r>
      <w:r>
        <w:rPr>
          <w:rFonts w:hint="eastAsia"/>
        </w:rPr>
        <w:t>学时</w:t>
      </w:r>
      <w:r>
        <w:t>)</w:t>
      </w:r>
    </w:p>
    <w:p w14:paraId="6EBB8A8E">
      <w:pPr>
        <w:pStyle w:val="34"/>
      </w:pPr>
      <w:r>
        <w:rPr>
          <w:rFonts w:hint="eastAsia"/>
        </w:rPr>
        <w:t>本课程是财税专业必修的公共基础课程，职业规划课程帮助学生考虑外部因素，诸如就业环境、家庭状况、自身发展情况等，又要考虑内部因素，诸如能力、专业知识、爱好、性格等。确定一个合适的职业。可通过职业规划的专业教师的人才测评，实现对自身特质的系统了解。让学生学会根据时代需求不断调整自己的职业规划。在这个人才、行业、知识快速更新的时代，根据实际情况快速转移职业规划的支点，立于不败之地。</w:t>
      </w:r>
    </w:p>
    <w:p w14:paraId="5C6DF200">
      <w:pPr>
        <w:pStyle w:val="34"/>
      </w:pPr>
      <w:r>
        <w:t>9.</w:t>
      </w:r>
      <w:r>
        <w:rPr>
          <w:rFonts w:hint="eastAsia"/>
        </w:rPr>
        <w:t>历史</w:t>
      </w:r>
      <w:r>
        <w:t>(</w:t>
      </w:r>
      <w:r>
        <w:rPr>
          <w:rFonts w:hint="eastAsia"/>
          <w:lang w:val="en-US" w:eastAsia="zh-CN"/>
        </w:rPr>
        <w:t>基础模块72学时，拓展模块18学时</w:t>
      </w:r>
      <w:r>
        <w:t>)</w:t>
      </w:r>
    </w:p>
    <w:p w14:paraId="5279F1A1">
      <w:pPr>
        <w:pStyle w:val="34"/>
      </w:pPr>
      <w:r>
        <w:rPr>
          <w:rFonts w:hint="eastAsia"/>
        </w:rPr>
        <w:t>本课程是财税专业必修的公共基础课程，历史课主要是通过向学生们讲述历史事件、历史人物、著名的战役、盛世与治世、条款与协定、历史上的国家兴衰等等培养学生用历史的眼光看问题的方法与能力。让学生在历史学习活动中学会思考、学会感动、学会爱国，增长知识、提高能力、培养情感，求真求实求用。</w:t>
      </w:r>
    </w:p>
    <w:p w14:paraId="14C64FCD">
      <w:pPr>
        <w:pStyle w:val="31"/>
        <w:rPr>
          <w:rFonts w:hint="default"/>
        </w:rPr>
      </w:pPr>
      <w:r>
        <w:t>(二)专业课程</w:t>
      </w:r>
    </w:p>
    <w:p w14:paraId="5ECA8934">
      <w:pPr>
        <w:pStyle w:val="34"/>
      </w:pPr>
      <w:r>
        <w:rPr>
          <w:rFonts w:hint="eastAsia"/>
        </w:rPr>
        <w:t>1.专业基础必修课程</w:t>
      </w:r>
    </w:p>
    <w:p w14:paraId="0B018316">
      <w:pPr>
        <w:pStyle w:val="34"/>
      </w:pPr>
      <w:r>
        <w:t xml:space="preserve">(1) </w:t>
      </w:r>
      <w:r>
        <w:rPr>
          <w:rFonts w:hint="eastAsia"/>
        </w:rPr>
        <w:t>会计基础（</w:t>
      </w:r>
      <w:r>
        <w:rPr>
          <w:rFonts w:hint="eastAsia"/>
          <w:lang w:val="en-US" w:eastAsia="zh-CN"/>
        </w:rPr>
        <w:t>224</w:t>
      </w:r>
      <w:r>
        <w:rPr>
          <w:rFonts w:hint="eastAsia"/>
        </w:rPr>
        <w:t>学时）</w:t>
      </w:r>
    </w:p>
    <w:p w14:paraId="427F6951">
      <w:pPr>
        <w:pStyle w:val="34"/>
        <w:rPr>
          <w:sz w:val="28"/>
          <w:szCs w:val="28"/>
        </w:rPr>
      </w:pPr>
      <w:r>
        <w:rPr>
          <w:rFonts w:hint="eastAsia"/>
        </w:rPr>
        <w:t>本课程是中等职业学校财税专业必修的一门专业基础课程。其主要任务是使学生掌握会计从业人员必备的会计基本知识和基本操作技能，理解会计核算的基本原理和账务处理程序，能熟练应用借贷记账法，进行企业经济业务的核算与处理。本课程是学习会计专业及其相关专业的入门课程，在专业课程体系中处于基础地位，为学生后续学习各种专业会计和有关管理课程做准备，为学生从事会计工作奠定基础。</w:t>
      </w:r>
    </w:p>
    <w:p w14:paraId="6531B7F4">
      <w:pPr>
        <w:pStyle w:val="34"/>
      </w:pPr>
      <w:r>
        <w:t xml:space="preserve">(2) </w:t>
      </w:r>
      <w:r>
        <w:rPr>
          <w:rFonts w:hint="eastAsia"/>
        </w:rPr>
        <w:t>财经法规与职业道德（</w:t>
      </w:r>
      <w:r>
        <w:rPr>
          <w:rFonts w:hint="eastAsia"/>
          <w:lang w:val="en-US" w:eastAsia="zh-CN"/>
        </w:rPr>
        <w:t>192</w:t>
      </w:r>
      <w:r>
        <w:rPr>
          <w:rFonts w:hint="eastAsia"/>
        </w:rPr>
        <w:t>学时）</w:t>
      </w:r>
    </w:p>
    <w:p w14:paraId="7B4D7CCA">
      <w:pPr>
        <w:pStyle w:val="34"/>
      </w:pPr>
      <w:r>
        <w:rPr>
          <w:rFonts w:hint="eastAsia"/>
        </w:rPr>
        <w:t>本课程是中等职业技术学校财税专业必修的一门专业基础课程。主要任务是介绍会计法律制度、支付结算法律制度、税收法律制度、财政法律制度以及会计职业道德的基本知识和基本技能。通过学习本课程，学生可以了解从事会计工作、取得会计从业资格必需的职业知识，提高会计人员的职业岗位能力水平和道德修养，强化会计从业人员的职业责任感，为顺利走上会计工作岗位并严格执行会计法律规范和技术规范奠定良好的基础。</w:t>
      </w:r>
    </w:p>
    <w:p w14:paraId="15C02DE0">
      <w:pPr>
        <w:pStyle w:val="34"/>
      </w:pPr>
      <w:r>
        <w:t xml:space="preserve">(3) </w:t>
      </w:r>
      <w:r>
        <w:rPr>
          <w:rFonts w:hint="eastAsia"/>
        </w:rPr>
        <w:t>金融基础（</w:t>
      </w:r>
      <w:r>
        <w:rPr>
          <w:rFonts w:hint="eastAsia"/>
          <w:lang w:val="en-US" w:eastAsia="zh-CN"/>
        </w:rPr>
        <w:t>128</w:t>
      </w:r>
      <w:r>
        <w:rPr>
          <w:rFonts w:hint="eastAsia"/>
        </w:rPr>
        <w:t>学时）</w:t>
      </w:r>
    </w:p>
    <w:p w14:paraId="40D49E82">
      <w:pPr>
        <w:pStyle w:val="34"/>
      </w:pPr>
      <w:r>
        <w:rPr>
          <w:rFonts w:hint="eastAsia"/>
        </w:rPr>
        <w:t>本课程是中等职业学校财税专业必修的一门专业基础课程。其主要任务是为满足中等职业学校人才培养和全面素质教育的需要，以实际应用为基础，以会计技能训练为核心，通过强化训练使学生熟练掌握会计数字书写、珠算、点钞、验钞、传票和账表的运算等会计基础技能，提高专业素质，为学生的会计模拟实训、顶岗实习及从事会计相关工作奠定基础。</w:t>
      </w:r>
    </w:p>
    <w:p w14:paraId="02CEF6B4">
      <w:pPr>
        <w:pStyle w:val="34"/>
      </w:pPr>
      <w:r>
        <w:t xml:space="preserve">(4) </w:t>
      </w:r>
      <w:r>
        <w:rPr>
          <w:rFonts w:hint="eastAsia"/>
        </w:rPr>
        <w:t>统计基础（</w:t>
      </w:r>
      <w:r>
        <w:rPr>
          <w:rFonts w:hint="eastAsia"/>
          <w:lang w:val="en-US" w:eastAsia="zh-CN"/>
        </w:rPr>
        <w:t>128</w:t>
      </w:r>
      <w:r>
        <w:rPr>
          <w:rFonts w:hint="eastAsia"/>
        </w:rPr>
        <w:t>学时）</w:t>
      </w:r>
    </w:p>
    <w:p w14:paraId="76BDCFE7">
      <w:pPr>
        <w:pStyle w:val="34"/>
      </w:pPr>
      <w:r>
        <w:rPr>
          <w:rFonts w:hint="eastAsia"/>
        </w:rPr>
        <w:t>本课程是中等职业学习财税专业必修的一门专业基础课程，是以中初级会计专业人才必备的统计知识为依据设置的。主要任务是使学生掌握统计的基本知识以及统计调查、统计资料加以整理与统计分析的基本方法和基本技能，培养学生的日常统计事务处理能力，对会计专业学生综合能力的培养起着提升和扩展作用，也是进一步学习其他相关专业课程的基础。</w:t>
      </w:r>
    </w:p>
    <w:p w14:paraId="7186A13B">
      <w:pPr>
        <w:pStyle w:val="34"/>
      </w:pPr>
      <w:r>
        <w:t>2</w:t>
      </w:r>
      <w:r>
        <w:rPr>
          <w:rFonts w:hint="eastAsia"/>
        </w:rPr>
        <w:t>．专业技能课程</w:t>
      </w:r>
    </w:p>
    <w:p w14:paraId="628821E2">
      <w:pPr>
        <w:pStyle w:val="34"/>
      </w:pPr>
      <w:r>
        <w:t xml:space="preserve">(1) </w:t>
      </w:r>
      <w:r>
        <w:rPr>
          <w:rFonts w:hint="eastAsia"/>
        </w:rPr>
        <w:t>会计基础技能（</w:t>
      </w:r>
      <w:r>
        <w:rPr>
          <w:rFonts w:hint="eastAsia"/>
          <w:lang w:val="en-US" w:eastAsia="zh-CN"/>
        </w:rPr>
        <w:t>224</w:t>
      </w:r>
      <w:r>
        <w:rPr>
          <w:rFonts w:hint="eastAsia"/>
        </w:rPr>
        <w:t>学时）</w:t>
      </w:r>
    </w:p>
    <w:p w14:paraId="45D6175E">
      <w:pPr>
        <w:pStyle w:val="34"/>
      </w:pPr>
      <w:r>
        <w:rPr>
          <w:rFonts w:hint="eastAsia"/>
        </w:rPr>
        <w:t>本课程是中等职业学校财税专业必修的一门技能方向课程，是以小企业会计岗位任务为依据、以对外报告的会计信息生成为主线、以会计要素为结构进行的项目教学。其主要任务是让学生在学习各项目的过程中，理解、掌握小企业各项经济业务事项的核算及会计报表的编制，旨在提供从事会计职业的必备知识，培养学生处理小企业经济业务与会计事项的能力，并为后续会计专业课程的学习打下坚实的基础。</w:t>
      </w:r>
    </w:p>
    <w:p w14:paraId="22A51C7E">
      <w:pPr>
        <w:pStyle w:val="34"/>
      </w:pPr>
      <w:r>
        <w:t xml:space="preserve"> (2) </w:t>
      </w:r>
      <w:r>
        <w:rPr>
          <w:rFonts w:hint="eastAsia"/>
        </w:rPr>
        <w:t>会计电算化技能</w:t>
      </w:r>
      <w:r>
        <w:t>(160</w:t>
      </w:r>
      <w:r>
        <w:rPr>
          <w:rFonts w:hint="eastAsia"/>
        </w:rPr>
        <w:t>学时</w:t>
      </w:r>
      <w:r>
        <w:t>)</w:t>
      </w:r>
    </w:p>
    <w:p w14:paraId="7D62D1D3">
      <w:pPr>
        <w:pStyle w:val="34"/>
      </w:pPr>
      <w:r>
        <w:rPr>
          <w:rFonts w:hint="eastAsia"/>
        </w:rPr>
        <w:t>本课程是中等职业学校财税专业必修的一门技能方向课程，他将会计专业基础知识、会计方法与计算机信息技术等教学内容融合为</w:t>
      </w:r>
      <w:r>
        <w:t xml:space="preserve"> </w:t>
      </w:r>
      <w:r>
        <w:rPr>
          <w:rFonts w:hint="eastAsia"/>
        </w:rPr>
        <w:t>一体，其主要任务是通过学习使学生掌握会计电算化的基本专业基础知识，常用财务软件主要功能模块的基本操作方法和技巧，提升和拓展学生职业岗位能力的培养。</w:t>
      </w:r>
    </w:p>
    <w:p w14:paraId="6262919A">
      <w:pPr>
        <w:pStyle w:val="34"/>
      </w:pPr>
      <w:r>
        <w:t xml:space="preserve"> (3) </w:t>
      </w:r>
      <w:r>
        <w:rPr>
          <w:rFonts w:hint="eastAsia"/>
        </w:rPr>
        <w:t>企业财务会计（</w:t>
      </w:r>
      <w:r>
        <w:t>1</w:t>
      </w:r>
      <w:r>
        <w:rPr>
          <w:rFonts w:hint="eastAsia"/>
          <w:lang w:val="en-US" w:eastAsia="zh-CN"/>
        </w:rPr>
        <w:t>9</w:t>
      </w:r>
      <w:r>
        <w:t>2</w:t>
      </w:r>
      <w:r>
        <w:rPr>
          <w:rFonts w:hint="eastAsia"/>
        </w:rPr>
        <w:t>学时）</w:t>
      </w:r>
    </w:p>
    <w:p w14:paraId="139ED12F">
      <w:pPr>
        <w:pStyle w:val="34"/>
      </w:pPr>
      <w:r>
        <w:rPr>
          <w:rFonts w:hint="eastAsia"/>
        </w:rPr>
        <w:t>本课程是中等职业学校财税专业必修的一门技能方向课程，是企业日常工作中处理公务、沟通信息、进行科学管理不可缺少的重要技能．其主要任务是介绍基本的财经应用文写作专业基础知识，以及常见于经应用文的写作规范及技巧，使学生具备基本的应用文写作能力，以及文章分析与处理能力，促进学生综合素质的提高，为实现职业岗位对接提供基础。</w:t>
      </w:r>
    </w:p>
    <w:p w14:paraId="182E7660">
      <w:pPr>
        <w:pStyle w:val="34"/>
      </w:pPr>
      <w:r>
        <w:t xml:space="preserve">(4) </w:t>
      </w:r>
      <w:r>
        <w:rPr>
          <w:rFonts w:hint="eastAsia"/>
        </w:rPr>
        <w:t>出纳会计实务（</w:t>
      </w:r>
      <w:r>
        <w:rPr>
          <w:rFonts w:hint="eastAsia"/>
          <w:lang w:val="en-US" w:eastAsia="zh-CN"/>
        </w:rPr>
        <w:t>112</w:t>
      </w:r>
      <w:r>
        <w:rPr>
          <w:rFonts w:hint="eastAsia"/>
        </w:rPr>
        <w:t>学时）</w:t>
      </w:r>
    </w:p>
    <w:p w14:paraId="48E924A1">
      <w:pPr>
        <w:pStyle w:val="34"/>
      </w:pPr>
      <w:r>
        <w:rPr>
          <w:rFonts w:hint="eastAsia"/>
        </w:rPr>
        <w:t>本课程是中等职业学校财税专业必修的一门技能方向课程。其主要任务是结合企、事业单位的工作特点以及要求，通过介绍出纳岗位典型工作任务的相关知识、工作流程、业务处理规范等内容，以实际应用为基础，以出纳技能训练为核心，注重日常出纳事务处理能力的培养。通过本课程的学习，使学生了解企、事业单位出纳岗位的相关业务知识，掌握货币资金收付款业务处理的基本技能，培养诚实守信、认真负责、善于沟通与合作的职业素养。</w:t>
      </w:r>
    </w:p>
    <w:p w14:paraId="42537A4B">
      <w:pPr>
        <w:pStyle w:val="34"/>
      </w:pPr>
      <w:r>
        <w:t>3</w:t>
      </w:r>
      <w:r>
        <w:rPr>
          <w:rFonts w:hint="eastAsia"/>
        </w:rPr>
        <w:t>．专业方向课程</w:t>
      </w:r>
    </w:p>
    <w:p w14:paraId="3804D7D4">
      <w:pPr>
        <w:pStyle w:val="34"/>
      </w:pPr>
      <w:r>
        <w:t xml:space="preserve">(A/1) </w:t>
      </w:r>
      <w:r>
        <w:rPr>
          <w:rFonts w:hint="eastAsia"/>
        </w:rPr>
        <w:t>企业会计实务（</w:t>
      </w:r>
      <w:r>
        <w:t>24</w:t>
      </w:r>
      <w:r>
        <w:rPr>
          <w:rFonts w:hint="eastAsia"/>
        </w:rPr>
        <w:t>学时）</w:t>
      </w:r>
    </w:p>
    <w:p w14:paraId="350EC7C1">
      <w:pPr>
        <w:pStyle w:val="34"/>
      </w:pPr>
      <w:r>
        <w:rPr>
          <w:rFonts w:hint="eastAsia"/>
        </w:rPr>
        <w:t>本课程是中等职业学校财税专业必修的一门技能方向课程。其主要任务是使学生了解财务管理的基本专业知识，掌握财务管理的基本方法和基本技能，培养学生具有财务核算、分析和决策的能力，提高学生分析问题、解决问题的能力，对会计专业学生综合能力的培养起着提升和扩展作用，为职业岗位对接提供基础。</w:t>
      </w:r>
    </w:p>
    <w:p w14:paraId="21377195">
      <w:pPr>
        <w:pStyle w:val="34"/>
      </w:pPr>
      <w:r>
        <w:t xml:space="preserve">(A/2) </w:t>
      </w:r>
      <w:r>
        <w:rPr>
          <w:rFonts w:hint="eastAsia"/>
        </w:rPr>
        <w:t>收银实务（</w:t>
      </w:r>
      <w:r>
        <w:t>24</w:t>
      </w:r>
      <w:r>
        <w:rPr>
          <w:rFonts w:hint="eastAsia"/>
        </w:rPr>
        <w:t>学时）</w:t>
      </w:r>
    </w:p>
    <w:p w14:paraId="422853A0">
      <w:pPr>
        <w:pStyle w:val="34"/>
      </w:pPr>
      <w:r>
        <w:rPr>
          <w:rFonts w:hint="eastAsia"/>
        </w:rPr>
        <w:t>本课程是中等职业学校财税专业必修的一门技能方向课程其主要任务是结合零售企业收银岗位的工作特点及要求，通过专业基础知识和实践的有机结合让学生掌握收银基本技能、收银作业流程、收银业务操作、收银服务规范等相关业务，通过学习，可以使学生的动手操作能力和综合职业能力得到提高，实现课程与职业岗位的对接，为学生将来实习就业打下良好的基础。</w:t>
      </w:r>
    </w:p>
    <w:p w14:paraId="48E6E746">
      <w:pPr>
        <w:pStyle w:val="34"/>
      </w:pPr>
      <w:r>
        <w:t xml:space="preserve">(B/1) </w:t>
      </w:r>
      <w:r>
        <w:rPr>
          <w:rFonts w:hint="eastAsia"/>
        </w:rPr>
        <w:t>会计电算化实务（一）（</w:t>
      </w:r>
      <w:r>
        <w:t>128</w:t>
      </w:r>
      <w:r>
        <w:rPr>
          <w:rFonts w:hint="eastAsia"/>
        </w:rPr>
        <w:t>学时）。</w:t>
      </w:r>
    </w:p>
    <w:p w14:paraId="21C1709C">
      <w:pPr>
        <w:pStyle w:val="34"/>
      </w:pPr>
      <w:r>
        <w:rPr>
          <w:rFonts w:hint="eastAsia"/>
        </w:rPr>
        <w:t>本课程是中等职业学校财税专业必修的一门技能方向课程。其主要任务是培养学生对会计业务的实际操作能力，巩固和提高会计专业水平。本课程通过对仿真会计资料的模拟实训，使学生能够掌握较全面的会计核算专业基础知识和基本操作技能，让学生熟练掌握总账、固定资产、工资，财务报表模块的操作。</w:t>
      </w:r>
    </w:p>
    <w:p w14:paraId="141560FE">
      <w:pPr>
        <w:pStyle w:val="34"/>
      </w:pPr>
      <w:r>
        <w:t xml:space="preserve">(B/2) </w:t>
      </w:r>
      <w:r>
        <w:rPr>
          <w:rFonts w:hint="eastAsia"/>
        </w:rPr>
        <w:t>会计电算化实务（二）（</w:t>
      </w:r>
      <w:r>
        <w:t>128</w:t>
      </w:r>
      <w:r>
        <w:rPr>
          <w:rFonts w:hint="eastAsia"/>
        </w:rPr>
        <w:t>学时）。</w:t>
      </w:r>
    </w:p>
    <w:p w14:paraId="43E69015">
      <w:pPr>
        <w:pStyle w:val="34"/>
      </w:pPr>
      <w:r>
        <w:rPr>
          <w:rFonts w:hint="eastAsia"/>
        </w:rPr>
        <w:t>本课程是中等职业学校财税专业必修的一门技能方向课程。其主要任务是培养学生对会计业务的实际操作能力，巩固和提高会计专业水平。本课程通过对仿真会计资料的模拟实训，使学生能够掌握较全面的会计核算专业基础知识和基本操作技能，让学生熟练掌握购销存模块的操作。</w:t>
      </w:r>
    </w:p>
    <w:p w14:paraId="48EC5AAB">
      <w:pPr>
        <w:pStyle w:val="34"/>
      </w:pPr>
      <w:r>
        <w:t xml:space="preserve">(C/1) </w:t>
      </w:r>
      <w:r>
        <w:rPr>
          <w:rFonts w:hint="eastAsia"/>
        </w:rPr>
        <w:t>税收法律（</w:t>
      </w:r>
      <w:r>
        <w:t>128</w:t>
      </w:r>
      <w:r>
        <w:rPr>
          <w:rFonts w:hint="eastAsia"/>
        </w:rPr>
        <w:t>学时）</w:t>
      </w:r>
    </w:p>
    <w:p w14:paraId="6AF12A51">
      <w:pPr>
        <w:pStyle w:val="34"/>
      </w:pPr>
      <w:r>
        <w:rPr>
          <w:rFonts w:hint="eastAsia"/>
        </w:rPr>
        <w:t>本课程是中等职业学校财税专业必修的一门技能方向课程，主要以企业涉税工作岗位的典型工作任务为导向，以各税种的计算、申报为主线，以常见税种为要素结构进行项目教学。让学生熟知各种税种及其计算公式。</w:t>
      </w:r>
    </w:p>
    <w:p w14:paraId="0F35E6B3">
      <w:pPr>
        <w:pStyle w:val="34"/>
      </w:pPr>
      <w:r>
        <w:t xml:space="preserve">(C/2) </w:t>
      </w:r>
      <w:r>
        <w:rPr>
          <w:rFonts w:hint="eastAsia"/>
        </w:rPr>
        <w:t>税收实务操作（</w:t>
      </w:r>
      <w:r>
        <w:t>128</w:t>
      </w:r>
      <w:r>
        <w:rPr>
          <w:rFonts w:hint="eastAsia"/>
        </w:rPr>
        <w:t>学时）</w:t>
      </w:r>
    </w:p>
    <w:p w14:paraId="76785049">
      <w:pPr>
        <w:pStyle w:val="34"/>
      </w:pPr>
      <w:r>
        <w:rPr>
          <w:rFonts w:hint="eastAsia"/>
        </w:rPr>
        <w:t>本课程是中等职业学校财税专业必修的一门技能方向课程。通过学习，使学生了解企业在生产经营过程中所需要缴纳的具体税种，掌握各税种应纳税额的计算与纳税申报，为学生提供从事会计及相关工作的必备知识，为课堂教学与职业岗位对接奠定基础。</w:t>
      </w:r>
    </w:p>
    <w:p w14:paraId="4D0F5B64">
      <w:pPr>
        <w:pStyle w:val="34"/>
      </w:pPr>
      <w:r>
        <w:t>4</w:t>
      </w:r>
      <w:r>
        <w:rPr>
          <w:rFonts w:hint="eastAsia"/>
        </w:rPr>
        <w:t>、公共选修课课程</w:t>
      </w:r>
    </w:p>
    <w:p w14:paraId="6F15E653">
      <w:pPr>
        <w:pStyle w:val="34"/>
      </w:pPr>
      <w:r>
        <w:rPr>
          <w:rFonts w:hint="eastAsia"/>
        </w:rPr>
        <w:t>专业拓展选修课程包括：政治、历史。</w:t>
      </w:r>
    </w:p>
    <w:p w14:paraId="4C4ECF97">
      <w:pPr>
        <w:pStyle w:val="34"/>
      </w:pPr>
      <w:r>
        <w:br w:type="page"/>
      </w:r>
    </w:p>
    <w:p w14:paraId="1A10C815">
      <w:pPr>
        <w:ind w:firstLine="640"/>
        <w:rPr>
          <w:sz w:val="32"/>
        </w:rPr>
      </w:pPr>
    </w:p>
    <w:p w14:paraId="764CE2DE">
      <w:pPr>
        <w:spacing w:line="580" w:lineRule="exact"/>
        <w:ind w:firstLine="640"/>
        <w:rPr>
          <w:rFonts w:ascii="黑体" w:hAnsi="黑体" w:eastAsia="黑体"/>
          <w:sz w:val="32"/>
          <w:szCs w:val="32"/>
        </w:rPr>
      </w:pPr>
      <w:r>
        <w:rPr>
          <w:rFonts w:hint="eastAsia" w:ascii="黑体" w:hAnsi="黑体" w:eastAsia="黑体"/>
          <w:sz w:val="32"/>
          <w:szCs w:val="32"/>
        </w:rPr>
        <w:t>七、教学进程总体安排</w:t>
      </w:r>
    </w:p>
    <w:p w14:paraId="6DF09574">
      <w:pPr>
        <w:spacing w:line="580" w:lineRule="exact"/>
        <w:ind w:firstLine="640"/>
        <w:rPr>
          <w:rFonts w:ascii="仿宋" w:hAnsi="仿宋" w:eastAsia="仿宋"/>
          <w:sz w:val="32"/>
          <w:szCs w:val="32"/>
        </w:rPr>
      </w:pPr>
      <w:r>
        <w:rPr>
          <w:rFonts w:hint="eastAsia" w:ascii="仿宋" w:hAnsi="仿宋" w:eastAsia="仿宋"/>
          <w:sz w:val="32"/>
          <w:szCs w:val="32"/>
        </w:rPr>
        <w:t>授课计划安排建议表</w:t>
      </w:r>
    </w:p>
    <w:tbl>
      <w:tblPr>
        <w:tblStyle w:val="15"/>
        <w:tblW w:w="8976" w:type="dxa"/>
        <w:tblInd w:w="93" w:type="dxa"/>
        <w:tblLayout w:type="fixed"/>
        <w:tblCellMar>
          <w:top w:w="0" w:type="dxa"/>
          <w:left w:w="108" w:type="dxa"/>
          <w:bottom w:w="0" w:type="dxa"/>
          <w:right w:w="108" w:type="dxa"/>
        </w:tblCellMar>
      </w:tblPr>
      <w:tblGrid>
        <w:gridCol w:w="680"/>
        <w:gridCol w:w="611"/>
        <w:gridCol w:w="1185"/>
        <w:gridCol w:w="2230"/>
        <w:gridCol w:w="720"/>
        <w:gridCol w:w="474"/>
        <w:gridCol w:w="211"/>
        <w:gridCol w:w="258"/>
        <w:gridCol w:w="309"/>
        <w:gridCol w:w="165"/>
        <w:gridCol w:w="402"/>
        <w:gridCol w:w="567"/>
        <w:gridCol w:w="1164"/>
      </w:tblGrid>
      <w:tr w14:paraId="34C0A756">
        <w:trPr>
          <w:trHeight w:val="284" w:hRule="atLeast"/>
        </w:trPr>
        <w:tc>
          <w:tcPr>
            <w:tcW w:w="1291"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D5EB043">
            <w:pPr>
              <w:widowControl/>
              <w:ind w:firstLine="361"/>
              <w:jc w:val="center"/>
              <w:rPr>
                <w:rFonts w:ascii="宋体" w:hAnsi="宋体" w:eastAsia="宋体"/>
                <w:b/>
                <w:kern w:val="0"/>
                <w:sz w:val="18"/>
                <w:szCs w:val="18"/>
              </w:rPr>
            </w:pPr>
            <w:r>
              <w:rPr>
                <w:rFonts w:hint="eastAsia" w:ascii="宋体" w:hAnsi="宋体" w:eastAsia="宋体"/>
                <w:b/>
                <w:kern w:val="0"/>
                <w:sz w:val="18"/>
                <w:szCs w:val="18"/>
              </w:rPr>
              <w:t>课程类别</w:t>
            </w:r>
          </w:p>
        </w:tc>
        <w:tc>
          <w:tcPr>
            <w:tcW w:w="1185" w:type="dxa"/>
            <w:vMerge w:val="restart"/>
            <w:tcBorders>
              <w:top w:val="single" w:color="auto" w:sz="4" w:space="0"/>
              <w:left w:val="nil"/>
              <w:bottom w:val="single" w:color="auto" w:sz="4" w:space="0"/>
              <w:right w:val="single" w:color="auto" w:sz="4" w:space="0"/>
              <w:tl2br w:val="nil"/>
              <w:tr2bl w:val="nil"/>
            </w:tcBorders>
            <w:shd w:val="clear" w:color="auto" w:fill="FFFFFF"/>
            <w:vAlign w:val="center"/>
          </w:tcPr>
          <w:p w14:paraId="7EDEE0E9">
            <w:pPr>
              <w:widowControl/>
              <w:jc w:val="center"/>
              <w:rPr>
                <w:rFonts w:ascii="宋体" w:hAnsi="宋体" w:eastAsia="宋体"/>
                <w:b/>
                <w:kern w:val="0"/>
                <w:sz w:val="18"/>
                <w:szCs w:val="18"/>
              </w:rPr>
            </w:pPr>
            <w:r>
              <w:rPr>
                <w:rFonts w:hint="eastAsia" w:ascii="宋体" w:hAnsi="宋体" w:eastAsia="宋体"/>
                <w:b/>
                <w:kern w:val="0"/>
                <w:sz w:val="18"/>
                <w:szCs w:val="18"/>
              </w:rPr>
              <w:t>序号</w:t>
            </w:r>
          </w:p>
        </w:tc>
        <w:tc>
          <w:tcPr>
            <w:tcW w:w="2230" w:type="dxa"/>
            <w:vMerge w:val="restart"/>
            <w:tcBorders>
              <w:top w:val="single" w:color="auto" w:sz="4" w:space="0"/>
              <w:left w:val="nil"/>
              <w:bottom w:val="single" w:color="auto" w:sz="4" w:space="0"/>
              <w:right w:val="single" w:color="auto" w:sz="4" w:space="0"/>
              <w:tl2br w:val="nil"/>
              <w:tr2bl w:val="nil"/>
            </w:tcBorders>
            <w:shd w:val="clear" w:color="auto" w:fill="FFFFFF"/>
            <w:vAlign w:val="center"/>
          </w:tcPr>
          <w:p w14:paraId="27E5A631">
            <w:pPr>
              <w:widowControl/>
              <w:jc w:val="center"/>
              <w:rPr>
                <w:rFonts w:ascii="宋体" w:hAnsi="宋体" w:eastAsia="宋体"/>
                <w:b/>
                <w:kern w:val="0"/>
                <w:sz w:val="18"/>
                <w:szCs w:val="18"/>
              </w:rPr>
            </w:pPr>
            <w:r>
              <w:rPr>
                <w:rFonts w:hint="eastAsia" w:ascii="宋体" w:hAnsi="宋体" w:eastAsia="宋体"/>
                <w:b/>
                <w:kern w:val="0"/>
                <w:sz w:val="18"/>
                <w:szCs w:val="18"/>
              </w:rPr>
              <w:t>课程名称</w:t>
            </w:r>
          </w:p>
        </w:tc>
        <w:tc>
          <w:tcPr>
            <w:tcW w:w="720" w:type="dxa"/>
            <w:vMerge w:val="restart"/>
            <w:tcBorders>
              <w:top w:val="single" w:color="auto" w:sz="4" w:space="0"/>
              <w:left w:val="nil"/>
              <w:bottom w:val="single" w:color="auto" w:sz="4" w:space="0"/>
              <w:right w:val="single" w:color="auto" w:sz="4" w:space="0"/>
              <w:tl2br w:val="nil"/>
              <w:tr2bl w:val="nil"/>
            </w:tcBorders>
            <w:shd w:val="clear" w:color="auto" w:fill="FFFFFF"/>
            <w:vAlign w:val="center"/>
          </w:tcPr>
          <w:p w14:paraId="0DB4E4E9">
            <w:pPr>
              <w:widowControl/>
              <w:jc w:val="center"/>
              <w:rPr>
                <w:rFonts w:ascii="宋体" w:hAnsi="宋体" w:eastAsia="宋体"/>
                <w:b/>
                <w:kern w:val="0"/>
                <w:sz w:val="18"/>
                <w:szCs w:val="18"/>
              </w:rPr>
            </w:pPr>
            <w:r>
              <w:rPr>
                <w:rFonts w:hint="eastAsia" w:ascii="宋体" w:hAnsi="宋体" w:eastAsia="宋体"/>
                <w:b/>
                <w:kern w:val="0"/>
                <w:sz w:val="18"/>
                <w:szCs w:val="18"/>
              </w:rPr>
              <w:t>总学时</w:t>
            </w:r>
          </w:p>
        </w:tc>
        <w:tc>
          <w:tcPr>
            <w:tcW w:w="3550" w:type="dxa"/>
            <w:gridSpan w:val="8"/>
            <w:tcBorders>
              <w:top w:val="single" w:color="auto" w:sz="4" w:space="0"/>
              <w:left w:val="nil"/>
              <w:bottom w:val="single" w:color="auto" w:sz="4" w:space="0"/>
              <w:right w:val="single" w:color="auto" w:sz="4" w:space="0"/>
              <w:tl2br w:val="nil"/>
              <w:tr2bl w:val="nil"/>
            </w:tcBorders>
            <w:shd w:val="clear" w:color="auto" w:fill="FFFFFF"/>
            <w:vAlign w:val="center"/>
          </w:tcPr>
          <w:p w14:paraId="6E59A667">
            <w:pPr>
              <w:widowControl/>
              <w:jc w:val="center"/>
              <w:rPr>
                <w:rFonts w:ascii="宋体" w:hAnsi="宋体" w:eastAsia="宋体"/>
                <w:b/>
                <w:kern w:val="0"/>
                <w:sz w:val="18"/>
                <w:szCs w:val="18"/>
              </w:rPr>
            </w:pPr>
            <w:r>
              <w:rPr>
                <w:rFonts w:hint="eastAsia" w:ascii="宋体" w:hAnsi="宋体" w:eastAsia="宋体"/>
                <w:b/>
                <w:kern w:val="0"/>
                <w:sz w:val="18"/>
                <w:szCs w:val="18"/>
              </w:rPr>
              <w:t>按学年、学期教学进程安排</w:t>
            </w:r>
          </w:p>
          <w:p w14:paraId="2569BD26">
            <w:pPr>
              <w:widowControl/>
              <w:jc w:val="center"/>
              <w:rPr>
                <w:rFonts w:ascii="宋体" w:hAnsi="宋体" w:eastAsia="宋体"/>
                <w:b/>
                <w:kern w:val="0"/>
                <w:sz w:val="18"/>
                <w:szCs w:val="18"/>
              </w:rPr>
            </w:pPr>
            <w:r>
              <w:rPr>
                <w:rFonts w:hint="eastAsia" w:ascii="宋体" w:hAnsi="宋体" w:eastAsia="宋体"/>
                <w:b/>
                <w:kern w:val="0"/>
                <w:sz w:val="18"/>
                <w:szCs w:val="18"/>
              </w:rPr>
              <w:t>(周学时/教学周数)</w:t>
            </w:r>
          </w:p>
        </w:tc>
      </w:tr>
      <w:tr w14:paraId="789E4EDA">
        <w:tblPrEx>
          <w:tblCellMar>
            <w:top w:w="0" w:type="dxa"/>
            <w:left w:w="108" w:type="dxa"/>
            <w:bottom w:w="0" w:type="dxa"/>
            <w:right w:w="108" w:type="dxa"/>
          </w:tblCellMar>
        </w:tblPrEx>
        <w:trPr>
          <w:trHeight w:val="284" w:hRule="atLeast"/>
        </w:trPr>
        <w:tc>
          <w:tcPr>
            <w:tcW w:w="1291"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076C007">
            <w:pPr>
              <w:widowControl/>
              <w:rPr>
                <w:rFonts w:ascii="宋体" w:hAnsi="宋体" w:eastAsia="宋体"/>
                <w:b/>
                <w:kern w:val="0"/>
                <w:sz w:val="18"/>
                <w:szCs w:val="18"/>
              </w:rPr>
            </w:pPr>
          </w:p>
        </w:tc>
        <w:tc>
          <w:tcPr>
            <w:tcW w:w="1185" w:type="dxa"/>
            <w:vMerge w:val="continue"/>
            <w:tcBorders>
              <w:top w:val="single" w:color="auto" w:sz="4" w:space="0"/>
              <w:left w:val="nil"/>
              <w:bottom w:val="single" w:color="auto" w:sz="4" w:space="0"/>
              <w:right w:val="single" w:color="auto" w:sz="4" w:space="0"/>
              <w:tl2br w:val="nil"/>
              <w:tr2bl w:val="nil"/>
            </w:tcBorders>
            <w:shd w:val="clear" w:color="auto" w:fill="auto"/>
            <w:vAlign w:val="center"/>
          </w:tcPr>
          <w:p w14:paraId="7ABAFF7F">
            <w:pPr>
              <w:widowControl/>
              <w:rPr>
                <w:rFonts w:ascii="宋体" w:hAnsi="宋体" w:eastAsia="宋体"/>
                <w:b/>
                <w:kern w:val="0"/>
                <w:sz w:val="18"/>
                <w:szCs w:val="18"/>
              </w:rPr>
            </w:pPr>
          </w:p>
        </w:tc>
        <w:tc>
          <w:tcPr>
            <w:tcW w:w="2230" w:type="dxa"/>
            <w:vMerge w:val="continue"/>
            <w:tcBorders>
              <w:top w:val="single" w:color="auto" w:sz="4" w:space="0"/>
              <w:left w:val="nil"/>
              <w:bottom w:val="single" w:color="auto" w:sz="4" w:space="0"/>
              <w:right w:val="single" w:color="auto" w:sz="4" w:space="0"/>
              <w:tl2br w:val="nil"/>
              <w:tr2bl w:val="nil"/>
            </w:tcBorders>
            <w:shd w:val="clear" w:color="auto" w:fill="auto"/>
            <w:vAlign w:val="center"/>
          </w:tcPr>
          <w:p w14:paraId="18370BF4">
            <w:pPr>
              <w:widowControl/>
              <w:rPr>
                <w:rFonts w:ascii="宋体" w:hAnsi="宋体" w:eastAsia="宋体"/>
                <w:b/>
                <w:kern w:val="0"/>
                <w:sz w:val="18"/>
                <w:szCs w:val="18"/>
              </w:rPr>
            </w:pPr>
          </w:p>
        </w:tc>
        <w:tc>
          <w:tcPr>
            <w:tcW w:w="720" w:type="dxa"/>
            <w:vMerge w:val="continue"/>
            <w:tcBorders>
              <w:top w:val="single" w:color="auto" w:sz="4" w:space="0"/>
              <w:left w:val="nil"/>
              <w:bottom w:val="single" w:color="auto" w:sz="4" w:space="0"/>
              <w:right w:val="single" w:color="auto" w:sz="4" w:space="0"/>
              <w:tl2br w:val="nil"/>
              <w:tr2bl w:val="nil"/>
            </w:tcBorders>
            <w:shd w:val="clear" w:color="auto" w:fill="auto"/>
            <w:vAlign w:val="center"/>
          </w:tcPr>
          <w:p w14:paraId="559A6C28">
            <w:pPr>
              <w:widowControl/>
              <w:rPr>
                <w:rFonts w:ascii="宋体" w:hAnsi="宋体" w:eastAsia="宋体"/>
                <w:b/>
                <w:kern w:val="0"/>
                <w:sz w:val="18"/>
                <w:szCs w:val="18"/>
              </w:rPr>
            </w:pPr>
          </w:p>
        </w:tc>
        <w:tc>
          <w:tcPr>
            <w:tcW w:w="1252" w:type="dxa"/>
            <w:gridSpan w:val="4"/>
            <w:tcBorders>
              <w:top w:val="single" w:color="auto" w:sz="4" w:space="0"/>
              <w:left w:val="nil"/>
              <w:bottom w:val="single" w:color="auto" w:sz="4" w:space="0"/>
              <w:right w:val="single" w:color="auto" w:sz="4" w:space="0"/>
              <w:tl2br w:val="nil"/>
              <w:tr2bl w:val="nil"/>
            </w:tcBorders>
            <w:shd w:val="clear" w:color="auto" w:fill="FFFFFF"/>
            <w:vAlign w:val="center"/>
          </w:tcPr>
          <w:p w14:paraId="549BB524">
            <w:pPr>
              <w:widowControl/>
              <w:jc w:val="center"/>
              <w:rPr>
                <w:rFonts w:ascii="宋体" w:hAnsi="宋体" w:eastAsia="宋体"/>
                <w:b/>
                <w:kern w:val="0"/>
                <w:sz w:val="18"/>
                <w:szCs w:val="18"/>
              </w:rPr>
            </w:pPr>
            <w:r>
              <w:rPr>
                <w:rFonts w:hint="eastAsia" w:ascii="宋体" w:hAnsi="宋体" w:eastAsia="宋体"/>
                <w:b/>
                <w:kern w:val="0"/>
                <w:sz w:val="18"/>
                <w:szCs w:val="18"/>
              </w:rPr>
              <w:t>第一学年</w:t>
            </w:r>
          </w:p>
        </w:tc>
        <w:tc>
          <w:tcPr>
            <w:tcW w:w="1134" w:type="dxa"/>
            <w:gridSpan w:val="3"/>
            <w:tcBorders>
              <w:top w:val="single" w:color="auto" w:sz="4" w:space="0"/>
              <w:left w:val="nil"/>
              <w:bottom w:val="single" w:color="auto" w:sz="4" w:space="0"/>
              <w:right w:val="single" w:color="auto" w:sz="4" w:space="0"/>
              <w:tl2br w:val="nil"/>
              <w:tr2bl w:val="nil"/>
            </w:tcBorders>
            <w:shd w:val="clear" w:color="auto" w:fill="FFFFFF"/>
            <w:vAlign w:val="center"/>
          </w:tcPr>
          <w:p w14:paraId="0A9E52C2">
            <w:pPr>
              <w:widowControl/>
              <w:jc w:val="center"/>
              <w:rPr>
                <w:rFonts w:ascii="宋体" w:hAnsi="宋体" w:eastAsia="宋体"/>
                <w:b/>
                <w:kern w:val="0"/>
                <w:sz w:val="18"/>
                <w:szCs w:val="18"/>
              </w:rPr>
            </w:pPr>
            <w:r>
              <w:rPr>
                <w:rFonts w:hint="eastAsia" w:ascii="宋体" w:hAnsi="宋体" w:eastAsia="宋体"/>
                <w:b/>
                <w:kern w:val="0"/>
                <w:sz w:val="18"/>
                <w:szCs w:val="18"/>
              </w:rPr>
              <w:t>第二学年</w:t>
            </w:r>
          </w:p>
        </w:tc>
        <w:tc>
          <w:tcPr>
            <w:tcW w:w="1164" w:type="dxa"/>
            <w:tcBorders>
              <w:top w:val="nil"/>
              <w:left w:val="nil"/>
              <w:bottom w:val="nil"/>
              <w:right w:val="single" w:color="auto" w:sz="4" w:space="0"/>
              <w:tl2br w:val="nil"/>
              <w:tr2bl w:val="nil"/>
            </w:tcBorders>
            <w:shd w:val="clear" w:color="auto" w:fill="FFFFFF"/>
            <w:vAlign w:val="center"/>
          </w:tcPr>
          <w:p w14:paraId="0F1A47FB">
            <w:pPr>
              <w:widowControl/>
              <w:jc w:val="center"/>
              <w:rPr>
                <w:rFonts w:ascii="宋体" w:hAnsi="宋体" w:eastAsia="宋体"/>
                <w:b/>
                <w:kern w:val="0"/>
                <w:sz w:val="18"/>
                <w:szCs w:val="18"/>
              </w:rPr>
            </w:pPr>
            <w:r>
              <w:rPr>
                <w:rFonts w:hint="eastAsia" w:ascii="宋体" w:hAnsi="宋体" w:eastAsia="宋体"/>
                <w:b/>
                <w:kern w:val="0"/>
                <w:sz w:val="18"/>
                <w:szCs w:val="18"/>
              </w:rPr>
              <w:t>第三学年</w:t>
            </w:r>
          </w:p>
        </w:tc>
      </w:tr>
      <w:tr w14:paraId="242965D9">
        <w:tblPrEx>
          <w:tblCellMar>
            <w:top w:w="0" w:type="dxa"/>
            <w:left w:w="108" w:type="dxa"/>
            <w:bottom w:w="0" w:type="dxa"/>
            <w:right w:w="108" w:type="dxa"/>
          </w:tblCellMar>
        </w:tblPrEx>
        <w:trPr>
          <w:trHeight w:val="284" w:hRule="atLeast"/>
        </w:trPr>
        <w:tc>
          <w:tcPr>
            <w:tcW w:w="1291"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8276D55">
            <w:pPr>
              <w:widowControl/>
              <w:rPr>
                <w:rFonts w:ascii="宋体" w:hAnsi="宋体" w:eastAsia="宋体"/>
                <w:b/>
                <w:kern w:val="0"/>
                <w:sz w:val="18"/>
                <w:szCs w:val="18"/>
              </w:rPr>
            </w:pPr>
          </w:p>
        </w:tc>
        <w:tc>
          <w:tcPr>
            <w:tcW w:w="1185" w:type="dxa"/>
            <w:vMerge w:val="continue"/>
            <w:tcBorders>
              <w:top w:val="single" w:color="auto" w:sz="4" w:space="0"/>
              <w:left w:val="nil"/>
              <w:bottom w:val="single" w:color="auto" w:sz="4" w:space="0"/>
              <w:right w:val="single" w:color="auto" w:sz="4" w:space="0"/>
              <w:tl2br w:val="nil"/>
              <w:tr2bl w:val="nil"/>
            </w:tcBorders>
            <w:shd w:val="clear" w:color="auto" w:fill="auto"/>
            <w:vAlign w:val="center"/>
          </w:tcPr>
          <w:p w14:paraId="4AA83D29">
            <w:pPr>
              <w:widowControl/>
              <w:rPr>
                <w:rFonts w:ascii="宋体" w:hAnsi="宋体" w:eastAsia="宋体"/>
                <w:b/>
                <w:kern w:val="0"/>
                <w:sz w:val="18"/>
                <w:szCs w:val="18"/>
              </w:rPr>
            </w:pPr>
          </w:p>
        </w:tc>
        <w:tc>
          <w:tcPr>
            <w:tcW w:w="2230" w:type="dxa"/>
            <w:vMerge w:val="continue"/>
            <w:tcBorders>
              <w:top w:val="single" w:color="auto" w:sz="4" w:space="0"/>
              <w:left w:val="nil"/>
              <w:bottom w:val="single" w:color="auto" w:sz="4" w:space="0"/>
              <w:right w:val="single" w:color="auto" w:sz="4" w:space="0"/>
              <w:tl2br w:val="nil"/>
              <w:tr2bl w:val="nil"/>
            </w:tcBorders>
            <w:shd w:val="clear" w:color="auto" w:fill="auto"/>
            <w:vAlign w:val="center"/>
          </w:tcPr>
          <w:p w14:paraId="03390956">
            <w:pPr>
              <w:widowControl/>
              <w:rPr>
                <w:rFonts w:ascii="宋体" w:hAnsi="宋体" w:eastAsia="宋体"/>
                <w:b/>
                <w:kern w:val="0"/>
                <w:sz w:val="18"/>
                <w:szCs w:val="18"/>
              </w:rPr>
            </w:pPr>
          </w:p>
        </w:tc>
        <w:tc>
          <w:tcPr>
            <w:tcW w:w="720" w:type="dxa"/>
            <w:vMerge w:val="continue"/>
            <w:tcBorders>
              <w:top w:val="single" w:color="auto" w:sz="4" w:space="0"/>
              <w:left w:val="nil"/>
              <w:bottom w:val="single" w:color="auto" w:sz="4" w:space="0"/>
              <w:right w:val="single" w:color="auto" w:sz="4" w:space="0"/>
              <w:tl2br w:val="nil"/>
              <w:tr2bl w:val="nil"/>
            </w:tcBorders>
            <w:shd w:val="clear" w:color="auto" w:fill="auto"/>
            <w:vAlign w:val="center"/>
          </w:tcPr>
          <w:p w14:paraId="6ED33DFC">
            <w:pPr>
              <w:widowControl/>
              <w:rPr>
                <w:rFonts w:ascii="宋体" w:hAnsi="宋体" w:eastAsia="宋体"/>
                <w:b/>
                <w:kern w:val="0"/>
                <w:sz w:val="18"/>
                <w:szCs w:val="18"/>
              </w:rPr>
            </w:pPr>
          </w:p>
        </w:tc>
        <w:tc>
          <w:tcPr>
            <w:tcW w:w="685" w:type="dxa"/>
            <w:gridSpan w:val="2"/>
            <w:tcBorders>
              <w:top w:val="nil"/>
              <w:left w:val="nil"/>
              <w:bottom w:val="single" w:color="auto" w:sz="4" w:space="0"/>
              <w:right w:val="single" w:color="auto" w:sz="4" w:space="0"/>
              <w:tl2br w:val="nil"/>
              <w:tr2bl w:val="nil"/>
            </w:tcBorders>
            <w:shd w:val="clear" w:color="auto" w:fill="FFFFFF"/>
            <w:vAlign w:val="center"/>
          </w:tcPr>
          <w:p w14:paraId="0854D88D">
            <w:pPr>
              <w:widowControl/>
              <w:jc w:val="center"/>
              <w:rPr>
                <w:rFonts w:ascii="宋体" w:hAnsi="宋体" w:eastAsia="宋体"/>
                <w:b/>
                <w:kern w:val="0"/>
                <w:sz w:val="18"/>
                <w:szCs w:val="18"/>
              </w:rPr>
            </w:pPr>
            <w:r>
              <w:rPr>
                <w:rFonts w:hint="eastAsia" w:ascii="宋体" w:hAnsi="宋体" w:eastAsia="宋体"/>
                <w:b/>
                <w:kern w:val="0"/>
                <w:sz w:val="18"/>
                <w:szCs w:val="18"/>
              </w:rPr>
              <w:t>1</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1D77319C">
            <w:pPr>
              <w:widowControl/>
              <w:jc w:val="center"/>
              <w:rPr>
                <w:rFonts w:ascii="宋体" w:hAnsi="宋体" w:eastAsia="宋体"/>
                <w:b/>
                <w:kern w:val="0"/>
                <w:sz w:val="18"/>
                <w:szCs w:val="18"/>
              </w:rPr>
            </w:pPr>
            <w:r>
              <w:rPr>
                <w:rFonts w:hint="eastAsia" w:ascii="宋体" w:hAnsi="宋体" w:eastAsia="宋体"/>
                <w:b/>
                <w:kern w:val="0"/>
                <w:sz w:val="18"/>
                <w:szCs w:val="18"/>
              </w:rPr>
              <w:t>2</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4196D003">
            <w:pPr>
              <w:widowControl/>
              <w:jc w:val="center"/>
              <w:rPr>
                <w:rFonts w:ascii="宋体" w:hAnsi="宋体" w:eastAsia="宋体"/>
                <w:b/>
                <w:kern w:val="0"/>
                <w:sz w:val="18"/>
                <w:szCs w:val="18"/>
              </w:rPr>
            </w:pPr>
            <w:r>
              <w:rPr>
                <w:rFonts w:hint="eastAsia" w:ascii="宋体" w:hAnsi="宋体" w:eastAsia="宋体"/>
                <w:b/>
                <w:kern w:val="0"/>
                <w:sz w:val="18"/>
                <w:szCs w:val="18"/>
              </w:rPr>
              <w:t>3</w:t>
            </w:r>
          </w:p>
        </w:tc>
        <w:tc>
          <w:tcPr>
            <w:tcW w:w="567" w:type="dxa"/>
            <w:tcBorders>
              <w:top w:val="nil"/>
              <w:left w:val="nil"/>
              <w:bottom w:val="single" w:color="auto" w:sz="4" w:space="0"/>
              <w:right w:val="nil"/>
              <w:tl2br w:val="nil"/>
              <w:tr2bl w:val="nil"/>
            </w:tcBorders>
            <w:shd w:val="clear" w:color="auto" w:fill="FFFFFF"/>
            <w:vAlign w:val="center"/>
          </w:tcPr>
          <w:p w14:paraId="16B5C547">
            <w:pPr>
              <w:widowControl/>
              <w:jc w:val="center"/>
              <w:rPr>
                <w:rFonts w:ascii="宋体" w:hAnsi="宋体" w:eastAsia="宋体"/>
                <w:b/>
                <w:kern w:val="0"/>
                <w:sz w:val="18"/>
                <w:szCs w:val="18"/>
              </w:rPr>
            </w:pPr>
            <w:r>
              <w:rPr>
                <w:rFonts w:hint="eastAsia" w:ascii="宋体" w:hAnsi="宋体" w:eastAsia="宋体"/>
                <w:b/>
                <w:kern w:val="0"/>
                <w:sz w:val="18"/>
                <w:szCs w:val="18"/>
              </w:rPr>
              <w:t>4</w:t>
            </w:r>
          </w:p>
        </w:tc>
        <w:tc>
          <w:tcPr>
            <w:tcW w:w="11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7D3FFD6">
            <w:pPr>
              <w:widowControl/>
              <w:jc w:val="center"/>
              <w:rPr>
                <w:rFonts w:ascii="宋体" w:hAnsi="宋体" w:eastAsia="宋体"/>
                <w:b/>
                <w:kern w:val="0"/>
                <w:sz w:val="18"/>
                <w:szCs w:val="18"/>
              </w:rPr>
            </w:pPr>
            <w:r>
              <w:rPr>
                <w:rFonts w:hint="eastAsia" w:ascii="宋体" w:hAnsi="宋体" w:eastAsia="宋体"/>
                <w:b/>
                <w:kern w:val="0"/>
                <w:sz w:val="18"/>
                <w:szCs w:val="18"/>
              </w:rPr>
              <w:t>5-6学期</w:t>
            </w:r>
          </w:p>
        </w:tc>
      </w:tr>
      <w:tr w14:paraId="49C339D2">
        <w:tblPrEx>
          <w:tblCellMar>
            <w:top w:w="0" w:type="dxa"/>
            <w:left w:w="108" w:type="dxa"/>
            <w:bottom w:w="0" w:type="dxa"/>
            <w:right w:w="108" w:type="dxa"/>
          </w:tblCellMar>
        </w:tblPrEx>
        <w:trPr>
          <w:trHeight w:val="284" w:hRule="atLeast"/>
        </w:trPr>
        <w:tc>
          <w:tcPr>
            <w:tcW w:w="1291"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D34CD27">
            <w:pPr>
              <w:widowControl/>
              <w:rPr>
                <w:rFonts w:ascii="宋体" w:hAnsi="宋体" w:eastAsia="宋体"/>
                <w:b/>
                <w:kern w:val="0"/>
                <w:sz w:val="18"/>
                <w:szCs w:val="18"/>
              </w:rPr>
            </w:pPr>
          </w:p>
        </w:tc>
        <w:tc>
          <w:tcPr>
            <w:tcW w:w="1185" w:type="dxa"/>
            <w:vMerge w:val="continue"/>
            <w:tcBorders>
              <w:top w:val="single" w:color="auto" w:sz="4" w:space="0"/>
              <w:left w:val="nil"/>
              <w:bottom w:val="single" w:color="auto" w:sz="4" w:space="0"/>
              <w:right w:val="single" w:color="auto" w:sz="4" w:space="0"/>
              <w:tl2br w:val="nil"/>
              <w:tr2bl w:val="nil"/>
            </w:tcBorders>
            <w:shd w:val="clear" w:color="auto" w:fill="auto"/>
            <w:vAlign w:val="center"/>
          </w:tcPr>
          <w:p w14:paraId="1346B14C">
            <w:pPr>
              <w:widowControl/>
              <w:rPr>
                <w:rFonts w:ascii="宋体" w:hAnsi="宋体" w:eastAsia="宋体"/>
                <w:b/>
                <w:kern w:val="0"/>
                <w:sz w:val="18"/>
                <w:szCs w:val="18"/>
              </w:rPr>
            </w:pPr>
          </w:p>
        </w:tc>
        <w:tc>
          <w:tcPr>
            <w:tcW w:w="2230" w:type="dxa"/>
            <w:vMerge w:val="continue"/>
            <w:tcBorders>
              <w:top w:val="single" w:color="auto" w:sz="4" w:space="0"/>
              <w:left w:val="nil"/>
              <w:bottom w:val="single" w:color="auto" w:sz="4" w:space="0"/>
              <w:right w:val="single" w:color="auto" w:sz="4" w:space="0"/>
              <w:tl2br w:val="nil"/>
              <w:tr2bl w:val="nil"/>
            </w:tcBorders>
            <w:shd w:val="clear" w:color="auto" w:fill="auto"/>
            <w:vAlign w:val="center"/>
          </w:tcPr>
          <w:p w14:paraId="47DF4955">
            <w:pPr>
              <w:widowControl/>
              <w:rPr>
                <w:rFonts w:ascii="宋体" w:hAnsi="宋体" w:eastAsia="宋体"/>
                <w:b/>
                <w:kern w:val="0"/>
                <w:sz w:val="18"/>
                <w:szCs w:val="18"/>
              </w:rPr>
            </w:pPr>
          </w:p>
        </w:tc>
        <w:tc>
          <w:tcPr>
            <w:tcW w:w="720" w:type="dxa"/>
            <w:vMerge w:val="continue"/>
            <w:tcBorders>
              <w:top w:val="single" w:color="auto" w:sz="4" w:space="0"/>
              <w:left w:val="nil"/>
              <w:bottom w:val="single" w:color="auto" w:sz="4" w:space="0"/>
              <w:right w:val="single" w:color="auto" w:sz="4" w:space="0"/>
              <w:tl2br w:val="nil"/>
              <w:tr2bl w:val="nil"/>
            </w:tcBorders>
            <w:shd w:val="clear" w:color="auto" w:fill="auto"/>
            <w:vAlign w:val="center"/>
          </w:tcPr>
          <w:p w14:paraId="77874862">
            <w:pPr>
              <w:widowControl/>
              <w:rPr>
                <w:rFonts w:ascii="宋体" w:hAnsi="宋体" w:eastAsia="宋体"/>
                <w:b/>
                <w:kern w:val="0"/>
                <w:sz w:val="18"/>
                <w:szCs w:val="18"/>
              </w:rPr>
            </w:pPr>
          </w:p>
        </w:tc>
        <w:tc>
          <w:tcPr>
            <w:tcW w:w="685" w:type="dxa"/>
            <w:gridSpan w:val="2"/>
            <w:tcBorders>
              <w:top w:val="nil"/>
              <w:left w:val="nil"/>
              <w:bottom w:val="single" w:color="auto" w:sz="4" w:space="0"/>
              <w:right w:val="single" w:color="auto" w:sz="4" w:space="0"/>
              <w:tl2br w:val="nil"/>
              <w:tr2bl w:val="nil"/>
            </w:tcBorders>
            <w:shd w:val="clear" w:color="auto" w:fill="FFFFFF"/>
            <w:vAlign w:val="center"/>
          </w:tcPr>
          <w:p w14:paraId="403FD754">
            <w:pPr>
              <w:widowControl/>
              <w:jc w:val="center"/>
              <w:rPr>
                <w:rFonts w:hint="eastAsia" w:ascii="宋体" w:hAnsi="宋体" w:eastAsia="宋体"/>
                <w:b/>
                <w:kern w:val="0"/>
                <w:sz w:val="18"/>
                <w:szCs w:val="18"/>
                <w:lang w:eastAsia="zh-CN"/>
              </w:rPr>
            </w:pPr>
            <w:r>
              <w:rPr>
                <w:rFonts w:hint="eastAsia" w:ascii="宋体" w:hAnsi="宋体" w:eastAsia="宋体"/>
                <w:b/>
                <w:kern w:val="0"/>
                <w:sz w:val="18"/>
                <w:szCs w:val="18"/>
              </w:rPr>
              <w:t>1</w:t>
            </w:r>
            <w:r>
              <w:rPr>
                <w:rFonts w:hint="eastAsia" w:ascii="宋体" w:hAnsi="宋体" w:eastAsia="宋体"/>
                <w:b/>
                <w:kern w:val="0"/>
                <w:sz w:val="18"/>
                <w:szCs w:val="18"/>
                <w:lang w:val="en-US" w:eastAsia="zh-CN"/>
              </w:rPr>
              <w:t>6</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132EE8C1">
            <w:pPr>
              <w:widowControl/>
              <w:jc w:val="center"/>
              <w:rPr>
                <w:rFonts w:hint="eastAsia" w:ascii="宋体" w:hAnsi="宋体" w:eastAsia="宋体"/>
                <w:b/>
                <w:kern w:val="0"/>
                <w:sz w:val="18"/>
                <w:szCs w:val="18"/>
                <w:lang w:eastAsia="zh-CN"/>
              </w:rPr>
            </w:pPr>
            <w:r>
              <w:rPr>
                <w:rFonts w:hint="eastAsia" w:ascii="宋体" w:hAnsi="宋体" w:eastAsia="宋体"/>
                <w:b/>
                <w:kern w:val="0"/>
                <w:sz w:val="18"/>
                <w:szCs w:val="18"/>
              </w:rPr>
              <w:t>1</w:t>
            </w:r>
            <w:r>
              <w:rPr>
                <w:rFonts w:hint="eastAsia" w:ascii="宋体" w:hAnsi="宋体" w:eastAsia="宋体"/>
                <w:b/>
                <w:kern w:val="0"/>
                <w:sz w:val="18"/>
                <w:szCs w:val="18"/>
                <w:lang w:val="en-US" w:eastAsia="zh-CN"/>
              </w:rPr>
              <w:t>6</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305424A0">
            <w:pPr>
              <w:widowControl/>
              <w:jc w:val="center"/>
              <w:rPr>
                <w:rFonts w:ascii="宋体" w:hAnsi="宋体" w:eastAsia="宋体"/>
                <w:b/>
                <w:kern w:val="0"/>
                <w:sz w:val="18"/>
                <w:szCs w:val="18"/>
              </w:rPr>
            </w:pPr>
            <w:r>
              <w:rPr>
                <w:rFonts w:hint="eastAsia" w:ascii="宋体" w:hAnsi="宋体" w:eastAsia="宋体"/>
                <w:b/>
                <w:kern w:val="0"/>
                <w:sz w:val="18"/>
                <w:szCs w:val="18"/>
              </w:rPr>
              <w:t>16</w:t>
            </w:r>
          </w:p>
        </w:tc>
        <w:tc>
          <w:tcPr>
            <w:tcW w:w="567" w:type="dxa"/>
            <w:tcBorders>
              <w:top w:val="nil"/>
              <w:left w:val="nil"/>
              <w:bottom w:val="single" w:color="auto" w:sz="4" w:space="0"/>
              <w:right w:val="single" w:color="auto" w:sz="4" w:space="0"/>
              <w:tl2br w:val="nil"/>
              <w:tr2bl w:val="nil"/>
            </w:tcBorders>
            <w:shd w:val="clear" w:color="auto" w:fill="FFFFFF"/>
            <w:vAlign w:val="center"/>
          </w:tcPr>
          <w:p w14:paraId="7F6B1F61">
            <w:pPr>
              <w:widowControl/>
              <w:jc w:val="center"/>
              <w:rPr>
                <w:rFonts w:ascii="宋体" w:hAnsi="宋体" w:eastAsia="宋体"/>
                <w:b/>
                <w:kern w:val="0"/>
                <w:sz w:val="18"/>
                <w:szCs w:val="18"/>
              </w:rPr>
            </w:pPr>
            <w:r>
              <w:rPr>
                <w:rFonts w:hint="eastAsia" w:ascii="宋体" w:hAnsi="宋体" w:eastAsia="宋体"/>
                <w:b/>
                <w:kern w:val="0"/>
                <w:sz w:val="18"/>
                <w:szCs w:val="18"/>
              </w:rPr>
              <w:t>16</w:t>
            </w:r>
          </w:p>
        </w:tc>
        <w:tc>
          <w:tcPr>
            <w:tcW w:w="1164" w:type="dxa"/>
            <w:tcBorders>
              <w:top w:val="nil"/>
              <w:left w:val="nil"/>
              <w:bottom w:val="single" w:color="auto" w:sz="4" w:space="0"/>
              <w:right w:val="single" w:color="auto" w:sz="4" w:space="0"/>
              <w:tl2br w:val="nil"/>
              <w:tr2bl w:val="nil"/>
            </w:tcBorders>
            <w:shd w:val="clear" w:color="auto" w:fill="FFFFFF"/>
            <w:vAlign w:val="center"/>
          </w:tcPr>
          <w:p w14:paraId="6BF43677">
            <w:pPr>
              <w:widowControl/>
              <w:jc w:val="center"/>
              <w:rPr>
                <w:rFonts w:ascii="宋体" w:hAnsi="宋体" w:eastAsia="宋体"/>
                <w:b/>
                <w:kern w:val="0"/>
                <w:sz w:val="18"/>
                <w:szCs w:val="18"/>
              </w:rPr>
            </w:pPr>
            <w:r>
              <w:rPr>
                <w:rFonts w:hint="eastAsia" w:ascii="宋体" w:hAnsi="宋体" w:eastAsia="宋体"/>
                <w:b/>
                <w:kern w:val="0"/>
                <w:sz w:val="18"/>
                <w:szCs w:val="18"/>
              </w:rPr>
              <w:t>32</w:t>
            </w:r>
          </w:p>
        </w:tc>
      </w:tr>
      <w:tr w14:paraId="07FB1A56">
        <w:tblPrEx>
          <w:tblCellMar>
            <w:top w:w="0" w:type="dxa"/>
            <w:left w:w="108" w:type="dxa"/>
            <w:bottom w:w="0" w:type="dxa"/>
            <w:right w:w="108" w:type="dxa"/>
          </w:tblCellMar>
        </w:tblPrEx>
        <w:trPr>
          <w:trHeight w:val="284" w:hRule="atLeast"/>
        </w:trPr>
        <w:tc>
          <w:tcPr>
            <w:tcW w:w="680" w:type="dxa"/>
            <w:vMerge w:val="restart"/>
            <w:tcBorders>
              <w:top w:val="nil"/>
              <w:left w:val="single" w:color="auto" w:sz="4" w:space="0"/>
              <w:bottom w:val="single" w:color="auto" w:sz="4" w:space="0"/>
              <w:right w:val="single" w:color="auto" w:sz="4" w:space="0"/>
              <w:tl2br w:val="nil"/>
              <w:tr2bl w:val="nil"/>
            </w:tcBorders>
            <w:shd w:val="clear" w:color="auto" w:fill="FFFFFF"/>
            <w:vAlign w:val="center"/>
          </w:tcPr>
          <w:p w14:paraId="2EB6C027">
            <w:pPr>
              <w:widowControl/>
              <w:jc w:val="center"/>
              <w:rPr>
                <w:rFonts w:ascii="宋体" w:hAnsi="宋体" w:eastAsia="宋体"/>
                <w:b/>
                <w:kern w:val="0"/>
                <w:sz w:val="18"/>
                <w:szCs w:val="18"/>
              </w:rPr>
            </w:pPr>
            <w:r>
              <w:rPr>
                <w:rFonts w:hint="eastAsia" w:ascii="宋体" w:hAnsi="宋体" w:eastAsia="宋体"/>
                <w:b/>
                <w:kern w:val="0"/>
                <w:sz w:val="18"/>
                <w:szCs w:val="18"/>
              </w:rPr>
              <w:t>公</w:t>
            </w:r>
          </w:p>
          <w:p w14:paraId="7E42D470">
            <w:pPr>
              <w:widowControl/>
              <w:jc w:val="center"/>
              <w:rPr>
                <w:rFonts w:ascii="宋体" w:hAnsi="宋体" w:eastAsia="宋体"/>
                <w:b/>
                <w:kern w:val="0"/>
                <w:sz w:val="18"/>
                <w:szCs w:val="18"/>
              </w:rPr>
            </w:pPr>
            <w:r>
              <w:rPr>
                <w:rFonts w:hint="eastAsia" w:ascii="宋体" w:hAnsi="宋体" w:eastAsia="宋体"/>
                <w:b/>
                <w:kern w:val="0"/>
                <w:sz w:val="18"/>
                <w:szCs w:val="18"/>
              </w:rPr>
              <w:t>共</w:t>
            </w:r>
          </w:p>
          <w:p w14:paraId="4FAAB450">
            <w:pPr>
              <w:widowControl/>
              <w:jc w:val="center"/>
              <w:rPr>
                <w:rFonts w:ascii="宋体" w:hAnsi="宋体" w:eastAsia="宋体"/>
                <w:b/>
                <w:kern w:val="0"/>
                <w:sz w:val="18"/>
                <w:szCs w:val="18"/>
              </w:rPr>
            </w:pPr>
            <w:r>
              <w:rPr>
                <w:rFonts w:hint="eastAsia" w:ascii="宋体" w:hAnsi="宋体" w:eastAsia="宋体"/>
                <w:b/>
                <w:kern w:val="0"/>
                <w:sz w:val="18"/>
                <w:szCs w:val="18"/>
              </w:rPr>
              <w:t>基</w:t>
            </w:r>
          </w:p>
          <w:p w14:paraId="5A432B66">
            <w:pPr>
              <w:widowControl/>
              <w:jc w:val="center"/>
              <w:rPr>
                <w:rFonts w:ascii="宋体" w:hAnsi="宋体" w:eastAsia="宋体"/>
                <w:b/>
                <w:kern w:val="0"/>
                <w:sz w:val="18"/>
                <w:szCs w:val="18"/>
              </w:rPr>
            </w:pPr>
            <w:r>
              <w:rPr>
                <w:rFonts w:hint="eastAsia" w:ascii="宋体" w:hAnsi="宋体" w:eastAsia="宋体"/>
                <w:b/>
                <w:kern w:val="0"/>
                <w:sz w:val="18"/>
                <w:szCs w:val="18"/>
              </w:rPr>
              <w:t>础</w:t>
            </w:r>
          </w:p>
          <w:p w14:paraId="3891A6D9">
            <w:pPr>
              <w:widowControl/>
              <w:jc w:val="center"/>
              <w:rPr>
                <w:rFonts w:ascii="宋体" w:hAnsi="宋体" w:eastAsia="宋体"/>
                <w:b/>
                <w:kern w:val="0"/>
                <w:sz w:val="18"/>
                <w:szCs w:val="18"/>
              </w:rPr>
            </w:pPr>
            <w:r>
              <w:rPr>
                <w:rFonts w:hint="eastAsia" w:ascii="宋体" w:hAnsi="宋体" w:eastAsia="宋体"/>
                <w:b/>
                <w:kern w:val="0"/>
                <w:sz w:val="18"/>
                <w:szCs w:val="18"/>
              </w:rPr>
              <w:t>课</w:t>
            </w:r>
          </w:p>
          <w:p w14:paraId="18B8EA45">
            <w:pPr>
              <w:widowControl/>
              <w:jc w:val="center"/>
              <w:rPr>
                <w:rFonts w:ascii="宋体" w:hAnsi="宋体" w:eastAsia="宋体"/>
                <w:b/>
                <w:kern w:val="0"/>
                <w:sz w:val="18"/>
                <w:szCs w:val="18"/>
              </w:rPr>
            </w:pPr>
            <w:r>
              <w:rPr>
                <w:rFonts w:hint="eastAsia" w:ascii="宋体" w:hAnsi="宋体" w:eastAsia="宋体"/>
                <w:b/>
                <w:kern w:val="0"/>
                <w:sz w:val="18"/>
                <w:szCs w:val="18"/>
              </w:rPr>
              <w:t>程</w:t>
            </w:r>
          </w:p>
        </w:tc>
        <w:tc>
          <w:tcPr>
            <w:tcW w:w="611" w:type="dxa"/>
            <w:vMerge w:val="restart"/>
            <w:tcBorders>
              <w:top w:val="nil"/>
              <w:left w:val="nil"/>
              <w:bottom w:val="single" w:color="auto" w:sz="4" w:space="0"/>
              <w:right w:val="single" w:color="auto" w:sz="4" w:space="0"/>
              <w:tl2br w:val="nil"/>
              <w:tr2bl w:val="nil"/>
            </w:tcBorders>
            <w:shd w:val="clear" w:color="auto" w:fill="FFFFFF"/>
            <w:vAlign w:val="center"/>
          </w:tcPr>
          <w:p w14:paraId="2D15274E">
            <w:pPr>
              <w:widowControl/>
              <w:jc w:val="center"/>
              <w:rPr>
                <w:rFonts w:ascii="宋体" w:hAnsi="宋体" w:eastAsia="宋体"/>
                <w:b/>
                <w:kern w:val="0"/>
                <w:sz w:val="18"/>
                <w:szCs w:val="18"/>
              </w:rPr>
            </w:pPr>
            <w:r>
              <w:rPr>
                <w:rFonts w:hint="eastAsia" w:ascii="宋体" w:hAnsi="宋体" w:eastAsia="宋体"/>
                <w:b/>
                <w:kern w:val="0"/>
                <w:sz w:val="18"/>
                <w:szCs w:val="18"/>
              </w:rPr>
              <w:t>必</w:t>
            </w:r>
          </w:p>
          <w:p w14:paraId="3D66E3B9">
            <w:pPr>
              <w:widowControl/>
              <w:jc w:val="center"/>
              <w:rPr>
                <w:rFonts w:ascii="宋体" w:hAnsi="宋体" w:eastAsia="宋体"/>
                <w:b/>
                <w:kern w:val="0"/>
                <w:sz w:val="18"/>
                <w:szCs w:val="18"/>
              </w:rPr>
            </w:pPr>
            <w:r>
              <w:rPr>
                <w:rFonts w:hint="eastAsia" w:ascii="宋体" w:hAnsi="宋体" w:eastAsia="宋体"/>
                <w:b/>
                <w:kern w:val="0"/>
                <w:sz w:val="18"/>
                <w:szCs w:val="18"/>
              </w:rPr>
              <w:t>修</w:t>
            </w:r>
          </w:p>
          <w:p w14:paraId="650FC372">
            <w:pPr>
              <w:widowControl/>
              <w:jc w:val="center"/>
              <w:rPr>
                <w:rFonts w:ascii="宋体" w:hAnsi="宋体" w:eastAsia="宋体"/>
                <w:b/>
                <w:kern w:val="0"/>
                <w:sz w:val="18"/>
                <w:szCs w:val="18"/>
              </w:rPr>
            </w:pPr>
            <w:r>
              <w:rPr>
                <w:rFonts w:hint="eastAsia" w:ascii="宋体" w:hAnsi="宋体" w:eastAsia="宋体"/>
                <w:b/>
                <w:kern w:val="0"/>
                <w:sz w:val="18"/>
                <w:szCs w:val="18"/>
              </w:rPr>
              <w:t>课</w:t>
            </w:r>
          </w:p>
          <w:p w14:paraId="6B551FDD">
            <w:pPr>
              <w:widowControl/>
              <w:jc w:val="center"/>
              <w:rPr>
                <w:rFonts w:ascii="宋体" w:hAnsi="宋体" w:eastAsia="宋体"/>
                <w:b/>
                <w:kern w:val="0"/>
                <w:sz w:val="18"/>
                <w:szCs w:val="18"/>
              </w:rPr>
            </w:pPr>
            <w:r>
              <w:rPr>
                <w:rFonts w:hint="eastAsia" w:ascii="宋体" w:hAnsi="宋体" w:eastAsia="宋体"/>
                <w:b/>
                <w:kern w:val="0"/>
                <w:sz w:val="18"/>
                <w:szCs w:val="18"/>
              </w:rPr>
              <w:t>程</w:t>
            </w:r>
          </w:p>
        </w:tc>
        <w:tc>
          <w:tcPr>
            <w:tcW w:w="1185" w:type="dxa"/>
            <w:tcBorders>
              <w:top w:val="nil"/>
              <w:left w:val="nil"/>
              <w:bottom w:val="single" w:color="auto" w:sz="4" w:space="0"/>
              <w:right w:val="single" w:color="auto" w:sz="4" w:space="0"/>
              <w:tl2br w:val="nil"/>
              <w:tr2bl w:val="nil"/>
            </w:tcBorders>
            <w:shd w:val="clear" w:color="auto" w:fill="FFFFFF"/>
            <w:vAlign w:val="center"/>
          </w:tcPr>
          <w:p w14:paraId="302C38CA">
            <w:pPr>
              <w:widowControl/>
              <w:jc w:val="center"/>
              <w:rPr>
                <w:rFonts w:ascii="宋体" w:hAnsi="宋体" w:eastAsia="宋体"/>
                <w:kern w:val="0"/>
                <w:sz w:val="18"/>
                <w:szCs w:val="18"/>
              </w:rPr>
            </w:pPr>
            <w:r>
              <w:rPr>
                <w:rFonts w:hint="eastAsia" w:ascii="宋体" w:hAnsi="宋体" w:eastAsia="宋体"/>
                <w:kern w:val="0"/>
                <w:sz w:val="18"/>
                <w:szCs w:val="18"/>
              </w:rPr>
              <w:t>1</w:t>
            </w:r>
          </w:p>
        </w:tc>
        <w:tc>
          <w:tcPr>
            <w:tcW w:w="2230" w:type="dxa"/>
            <w:tcBorders>
              <w:top w:val="nil"/>
              <w:left w:val="nil"/>
              <w:bottom w:val="single" w:color="auto" w:sz="4" w:space="0"/>
              <w:right w:val="single" w:color="auto" w:sz="4" w:space="0"/>
              <w:tl2br w:val="nil"/>
              <w:tr2bl w:val="nil"/>
            </w:tcBorders>
            <w:shd w:val="clear" w:color="auto" w:fill="FFFFFF"/>
            <w:vAlign w:val="center"/>
          </w:tcPr>
          <w:p w14:paraId="6605597B">
            <w:pPr>
              <w:widowControl/>
              <w:jc w:val="center"/>
              <w:rPr>
                <w:rFonts w:ascii="宋体" w:hAnsi="宋体" w:eastAsia="宋体"/>
                <w:kern w:val="0"/>
                <w:sz w:val="18"/>
                <w:szCs w:val="18"/>
              </w:rPr>
            </w:pPr>
            <w:r>
              <w:rPr>
                <w:rFonts w:hint="eastAsia" w:ascii="宋体" w:hAnsi="宋体" w:eastAsia="宋体"/>
                <w:kern w:val="0"/>
                <w:sz w:val="18"/>
                <w:szCs w:val="18"/>
              </w:rPr>
              <w:t>职业生涯规划</w:t>
            </w:r>
          </w:p>
        </w:tc>
        <w:tc>
          <w:tcPr>
            <w:tcW w:w="720" w:type="dxa"/>
            <w:tcBorders>
              <w:top w:val="nil"/>
              <w:left w:val="nil"/>
              <w:bottom w:val="single" w:color="auto" w:sz="4" w:space="0"/>
              <w:right w:val="single" w:color="auto" w:sz="4" w:space="0"/>
              <w:tl2br w:val="nil"/>
              <w:tr2bl w:val="nil"/>
            </w:tcBorders>
            <w:shd w:val="clear" w:color="auto" w:fill="FFFFFF"/>
            <w:vAlign w:val="center"/>
          </w:tcPr>
          <w:p w14:paraId="1B8447EE">
            <w:pPr>
              <w:widowControl/>
              <w:jc w:val="center"/>
              <w:rPr>
                <w:rFonts w:ascii="宋体" w:hAnsi="宋体" w:eastAsia="宋体"/>
                <w:kern w:val="0"/>
                <w:sz w:val="18"/>
                <w:szCs w:val="18"/>
              </w:rPr>
            </w:pPr>
            <w:r>
              <w:rPr>
                <w:rFonts w:hint="eastAsia" w:ascii="宋体" w:hAnsi="宋体" w:eastAsia="宋体"/>
                <w:kern w:val="0"/>
                <w:sz w:val="18"/>
                <w:szCs w:val="18"/>
              </w:rPr>
              <w:t>32</w:t>
            </w:r>
          </w:p>
        </w:tc>
        <w:tc>
          <w:tcPr>
            <w:tcW w:w="685" w:type="dxa"/>
            <w:gridSpan w:val="2"/>
            <w:tcBorders>
              <w:top w:val="nil"/>
              <w:left w:val="nil"/>
              <w:bottom w:val="single" w:color="auto" w:sz="4" w:space="0"/>
              <w:right w:val="single" w:color="auto" w:sz="4" w:space="0"/>
              <w:tl2br w:val="nil"/>
              <w:tr2bl w:val="nil"/>
            </w:tcBorders>
            <w:shd w:val="clear" w:color="auto" w:fill="FFFFFF"/>
            <w:vAlign w:val="center"/>
          </w:tcPr>
          <w:p w14:paraId="4CD550B6">
            <w:pPr>
              <w:widowControl/>
              <w:jc w:val="center"/>
              <w:rPr>
                <w:rFonts w:ascii="宋体" w:hAnsi="宋体" w:eastAsia="宋体"/>
                <w:kern w:val="0"/>
                <w:sz w:val="18"/>
                <w:szCs w:val="18"/>
              </w:rPr>
            </w:pPr>
            <w:r>
              <w:rPr>
                <w:rFonts w:hint="eastAsia" w:ascii="宋体" w:hAnsi="宋体" w:eastAsia="宋体"/>
                <w:kern w:val="0"/>
                <w:sz w:val="18"/>
                <w:szCs w:val="18"/>
              </w:rPr>
              <w:t>2</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71F6BFA9">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4380F4AD">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567" w:type="dxa"/>
            <w:tcBorders>
              <w:top w:val="nil"/>
              <w:left w:val="nil"/>
              <w:bottom w:val="single" w:color="auto" w:sz="4" w:space="0"/>
              <w:right w:val="single" w:color="auto" w:sz="4" w:space="0"/>
              <w:tl2br w:val="nil"/>
              <w:tr2bl w:val="nil"/>
            </w:tcBorders>
            <w:shd w:val="clear" w:color="auto" w:fill="FFFFFF"/>
            <w:vAlign w:val="center"/>
          </w:tcPr>
          <w:p w14:paraId="3401A05D">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1164" w:type="dxa"/>
            <w:vMerge w:val="restart"/>
            <w:tcBorders>
              <w:top w:val="nil"/>
              <w:left w:val="nil"/>
              <w:bottom w:val="single" w:color="auto" w:sz="4" w:space="0"/>
              <w:right w:val="single" w:color="auto" w:sz="4" w:space="0"/>
              <w:tl2br w:val="nil"/>
              <w:tr2bl w:val="nil"/>
            </w:tcBorders>
            <w:shd w:val="clear" w:color="auto" w:fill="FFFFFF"/>
            <w:vAlign w:val="center"/>
          </w:tcPr>
          <w:p w14:paraId="4C874EC1">
            <w:pPr>
              <w:widowControl/>
              <w:jc w:val="center"/>
              <w:rPr>
                <w:rFonts w:ascii="宋体" w:hAnsi="宋体" w:eastAsia="宋体"/>
                <w:kern w:val="0"/>
                <w:sz w:val="18"/>
                <w:szCs w:val="18"/>
              </w:rPr>
            </w:pPr>
            <w:r>
              <w:rPr>
                <w:rFonts w:hint="eastAsia" w:ascii="宋体" w:hAnsi="宋体" w:eastAsia="宋体"/>
                <w:kern w:val="0"/>
                <w:sz w:val="18"/>
                <w:szCs w:val="18"/>
              </w:rPr>
              <w:t>毕业实习</w:t>
            </w:r>
          </w:p>
        </w:tc>
      </w:tr>
      <w:tr w14:paraId="6B2839B3">
        <w:tblPrEx>
          <w:tblCellMar>
            <w:top w:w="0" w:type="dxa"/>
            <w:left w:w="108" w:type="dxa"/>
            <w:bottom w:w="0" w:type="dxa"/>
            <w:right w:w="108" w:type="dxa"/>
          </w:tblCellMar>
        </w:tblPrEx>
        <w:trPr>
          <w:trHeight w:val="284" w:hRule="atLeast"/>
        </w:trPr>
        <w:tc>
          <w:tcPr>
            <w:tcW w:w="680"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14:paraId="6F21109F">
            <w:pPr>
              <w:widowControl/>
              <w:rPr>
                <w:rFonts w:ascii="宋体" w:hAnsi="宋体" w:eastAsia="宋体"/>
                <w:b/>
                <w:kern w:val="0"/>
                <w:sz w:val="18"/>
                <w:szCs w:val="18"/>
              </w:rPr>
            </w:pPr>
          </w:p>
        </w:tc>
        <w:tc>
          <w:tcPr>
            <w:tcW w:w="611" w:type="dxa"/>
            <w:vMerge w:val="continue"/>
            <w:tcBorders>
              <w:top w:val="nil"/>
              <w:left w:val="nil"/>
              <w:bottom w:val="single" w:color="auto" w:sz="4" w:space="0"/>
              <w:right w:val="single" w:color="auto" w:sz="4" w:space="0"/>
              <w:tl2br w:val="nil"/>
              <w:tr2bl w:val="nil"/>
            </w:tcBorders>
            <w:shd w:val="clear" w:color="auto" w:fill="auto"/>
            <w:vAlign w:val="center"/>
          </w:tcPr>
          <w:p w14:paraId="5824FFCC">
            <w:pPr>
              <w:widowControl/>
              <w:rPr>
                <w:rFonts w:ascii="宋体" w:hAnsi="宋体" w:eastAsia="宋体"/>
                <w:b/>
                <w:kern w:val="0"/>
                <w:sz w:val="18"/>
                <w:szCs w:val="18"/>
              </w:rPr>
            </w:pPr>
          </w:p>
        </w:tc>
        <w:tc>
          <w:tcPr>
            <w:tcW w:w="1185" w:type="dxa"/>
            <w:tcBorders>
              <w:top w:val="nil"/>
              <w:left w:val="nil"/>
              <w:bottom w:val="single" w:color="auto" w:sz="4" w:space="0"/>
              <w:right w:val="single" w:color="auto" w:sz="4" w:space="0"/>
              <w:tl2br w:val="nil"/>
              <w:tr2bl w:val="nil"/>
            </w:tcBorders>
            <w:shd w:val="clear" w:color="auto" w:fill="FFFFFF"/>
            <w:vAlign w:val="center"/>
          </w:tcPr>
          <w:p w14:paraId="2E76383A">
            <w:pPr>
              <w:widowControl/>
              <w:jc w:val="center"/>
              <w:rPr>
                <w:rFonts w:ascii="宋体" w:hAnsi="宋体" w:eastAsia="宋体"/>
                <w:kern w:val="0"/>
                <w:sz w:val="18"/>
                <w:szCs w:val="18"/>
              </w:rPr>
            </w:pPr>
            <w:r>
              <w:rPr>
                <w:rFonts w:hint="eastAsia" w:ascii="宋体" w:hAnsi="宋体" w:eastAsia="宋体"/>
                <w:kern w:val="0"/>
                <w:sz w:val="18"/>
                <w:szCs w:val="18"/>
              </w:rPr>
              <w:t>2</w:t>
            </w:r>
          </w:p>
        </w:tc>
        <w:tc>
          <w:tcPr>
            <w:tcW w:w="2230" w:type="dxa"/>
            <w:tcBorders>
              <w:top w:val="nil"/>
              <w:left w:val="nil"/>
              <w:bottom w:val="single" w:color="auto" w:sz="4" w:space="0"/>
              <w:right w:val="single" w:color="auto" w:sz="4" w:space="0"/>
              <w:tl2br w:val="nil"/>
              <w:tr2bl w:val="nil"/>
            </w:tcBorders>
            <w:shd w:val="clear" w:color="auto" w:fill="FFFFFF"/>
            <w:vAlign w:val="center"/>
          </w:tcPr>
          <w:p w14:paraId="5A9E3280">
            <w:pPr>
              <w:widowControl/>
              <w:jc w:val="center"/>
              <w:rPr>
                <w:rFonts w:hint="eastAsia" w:ascii="宋体" w:hAnsi="宋体" w:eastAsia="宋体"/>
                <w:kern w:val="0"/>
                <w:sz w:val="18"/>
                <w:szCs w:val="18"/>
                <w:lang w:eastAsia="zh-CN"/>
              </w:rPr>
            </w:pPr>
            <w:r>
              <w:rPr>
                <w:rFonts w:hint="eastAsia" w:ascii="宋体" w:hAnsi="宋体" w:eastAsia="宋体"/>
                <w:kern w:val="0"/>
                <w:sz w:val="18"/>
                <w:szCs w:val="18"/>
                <w:lang w:eastAsia="zh-CN"/>
              </w:rPr>
              <w:t>历史</w:t>
            </w:r>
          </w:p>
        </w:tc>
        <w:tc>
          <w:tcPr>
            <w:tcW w:w="720" w:type="dxa"/>
            <w:tcBorders>
              <w:top w:val="nil"/>
              <w:left w:val="nil"/>
              <w:bottom w:val="single" w:color="auto" w:sz="4" w:space="0"/>
              <w:right w:val="single" w:color="auto" w:sz="4" w:space="0"/>
              <w:tl2br w:val="nil"/>
              <w:tr2bl w:val="nil"/>
            </w:tcBorders>
            <w:shd w:val="clear" w:color="auto" w:fill="FFFFFF"/>
            <w:vAlign w:val="center"/>
          </w:tcPr>
          <w:p w14:paraId="54E4A866">
            <w:pPr>
              <w:widowControl/>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144</w:t>
            </w:r>
          </w:p>
        </w:tc>
        <w:tc>
          <w:tcPr>
            <w:tcW w:w="685" w:type="dxa"/>
            <w:gridSpan w:val="2"/>
            <w:tcBorders>
              <w:top w:val="nil"/>
              <w:left w:val="nil"/>
              <w:bottom w:val="single" w:color="auto" w:sz="4" w:space="0"/>
              <w:right w:val="single" w:color="auto" w:sz="4" w:space="0"/>
              <w:tl2br w:val="nil"/>
              <w:tr2bl w:val="nil"/>
            </w:tcBorders>
            <w:shd w:val="clear" w:color="auto" w:fill="FFFFFF"/>
            <w:vAlign w:val="center"/>
          </w:tcPr>
          <w:p w14:paraId="59565CAA">
            <w:pPr>
              <w:widowControl/>
              <w:jc w:val="center"/>
              <w:rPr>
                <w:rFonts w:ascii="宋体" w:hAnsi="宋体" w:eastAsia="宋体"/>
                <w:kern w:val="0"/>
                <w:sz w:val="18"/>
                <w:szCs w:val="18"/>
              </w:rPr>
            </w:pPr>
            <w:r>
              <w:rPr>
                <w:rFonts w:hint="eastAsia" w:ascii="宋体" w:hAnsi="宋体" w:eastAsia="宋体"/>
                <w:kern w:val="0"/>
                <w:sz w:val="18"/>
                <w:szCs w:val="18"/>
                <w:lang w:val="en-US" w:eastAsia="zh-CN"/>
              </w:rPr>
              <w:t>2</w:t>
            </w:r>
            <w:r>
              <w:rPr>
                <w:rFonts w:hint="eastAsia" w:ascii="宋体" w:hAnsi="宋体" w:eastAsia="宋体"/>
                <w:kern w:val="0"/>
                <w:sz w:val="18"/>
                <w:szCs w:val="18"/>
              </w:rPr>
              <w:t>　</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52545942">
            <w:pPr>
              <w:widowControl/>
              <w:jc w:val="center"/>
              <w:rPr>
                <w:rFonts w:ascii="宋体" w:hAnsi="宋体" w:eastAsia="宋体"/>
                <w:kern w:val="0"/>
                <w:sz w:val="18"/>
                <w:szCs w:val="18"/>
              </w:rPr>
            </w:pPr>
            <w:r>
              <w:rPr>
                <w:rFonts w:hint="eastAsia" w:ascii="宋体" w:hAnsi="宋体" w:eastAsia="宋体"/>
                <w:kern w:val="0"/>
                <w:sz w:val="18"/>
                <w:szCs w:val="18"/>
              </w:rPr>
              <w:t>2</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17A7F376">
            <w:pPr>
              <w:widowControl/>
              <w:jc w:val="center"/>
              <w:rPr>
                <w:rFonts w:ascii="宋体" w:hAnsi="宋体" w:eastAsia="宋体"/>
                <w:kern w:val="0"/>
                <w:sz w:val="18"/>
                <w:szCs w:val="18"/>
              </w:rPr>
            </w:pPr>
            <w:r>
              <w:rPr>
                <w:rFonts w:hint="eastAsia" w:ascii="宋体" w:hAnsi="宋体" w:eastAsia="宋体"/>
                <w:kern w:val="0"/>
                <w:sz w:val="18"/>
                <w:szCs w:val="18"/>
                <w:lang w:val="en-US" w:eastAsia="zh-CN"/>
              </w:rPr>
              <w:t>2</w:t>
            </w:r>
            <w:r>
              <w:rPr>
                <w:rFonts w:hint="eastAsia" w:ascii="宋体" w:hAnsi="宋体" w:eastAsia="宋体"/>
                <w:kern w:val="0"/>
                <w:sz w:val="18"/>
                <w:szCs w:val="18"/>
              </w:rPr>
              <w:t>　</w:t>
            </w:r>
          </w:p>
        </w:tc>
        <w:tc>
          <w:tcPr>
            <w:tcW w:w="567" w:type="dxa"/>
            <w:tcBorders>
              <w:top w:val="nil"/>
              <w:left w:val="nil"/>
              <w:bottom w:val="single" w:color="auto" w:sz="4" w:space="0"/>
              <w:right w:val="single" w:color="auto" w:sz="4" w:space="0"/>
              <w:tl2br w:val="nil"/>
              <w:tr2bl w:val="nil"/>
            </w:tcBorders>
            <w:shd w:val="clear" w:color="auto" w:fill="FFFFFF"/>
            <w:vAlign w:val="center"/>
          </w:tcPr>
          <w:p w14:paraId="285DE5D7">
            <w:pPr>
              <w:widowControl/>
              <w:jc w:val="center"/>
              <w:rPr>
                <w:rFonts w:ascii="宋体" w:hAnsi="宋体" w:eastAsia="宋体"/>
                <w:kern w:val="0"/>
                <w:sz w:val="18"/>
                <w:szCs w:val="18"/>
              </w:rPr>
            </w:pPr>
            <w:r>
              <w:rPr>
                <w:rFonts w:hint="eastAsia" w:ascii="宋体" w:hAnsi="宋体" w:eastAsia="宋体"/>
                <w:kern w:val="0"/>
                <w:sz w:val="18"/>
                <w:szCs w:val="18"/>
                <w:lang w:val="en-US" w:eastAsia="zh-CN"/>
              </w:rPr>
              <w:t>2</w:t>
            </w:r>
            <w:r>
              <w:rPr>
                <w:rFonts w:hint="eastAsia" w:ascii="宋体" w:hAnsi="宋体" w:eastAsia="宋体"/>
                <w:kern w:val="0"/>
                <w:sz w:val="18"/>
                <w:szCs w:val="18"/>
              </w:rPr>
              <w:t>　</w:t>
            </w:r>
          </w:p>
        </w:tc>
        <w:tc>
          <w:tcPr>
            <w:tcW w:w="1164" w:type="dxa"/>
            <w:vMerge w:val="continue"/>
            <w:tcBorders>
              <w:top w:val="nil"/>
              <w:left w:val="nil"/>
              <w:bottom w:val="single" w:color="auto" w:sz="4" w:space="0"/>
              <w:right w:val="single" w:color="auto" w:sz="4" w:space="0"/>
              <w:tl2br w:val="nil"/>
              <w:tr2bl w:val="nil"/>
            </w:tcBorders>
            <w:vAlign w:val="center"/>
          </w:tcPr>
          <w:p w14:paraId="088D6FD1">
            <w:pPr>
              <w:widowControl/>
              <w:rPr>
                <w:rFonts w:ascii="宋体" w:hAnsi="宋体" w:eastAsia="宋体"/>
                <w:kern w:val="0"/>
                <w:sz w:val="18"/>
                <w:szCs w:val="18"/>
              </w:rPr>
            </w:pPr>
          </w:p>
        </w:tc>
      </w:tr>
      <w:tr w14:paraId="4C12E558">
        <w:tblPrEx>
          <w:tblCellMar>
            <w:top w:w="0" w:type="dxa"/>
            <w:left w:w="108" w:type="dxa"/>
            <w:bottom w:w="0" w:type="dxa"/>
            <w:right w:w="108" w:type="dxa"/>
          </w:tblCellMar>
        </w:tblPrEx>
        <w:trPr>
          <w:trHeight w:val="284" w:hRule="atLeast"/>
        </w:trPr>
        <w:tc>
          <w:tcPr>
            <w:tcW w:w="680"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14:paraId="3AB1E81B">
            <w:pPr>
              <w:widowControl/>
              <w:rPr>
                <w:rFonts w:ascii="宋体" w:hAnsi="宋体" w:eastAsia="宋体"/>
                <w:b/>
                <w:kern w:val="0"/>
                <w:sz w:val="18"/>
                <w:szCs w:val="18"/>
              </w:rPr>
            </w:pPr>
          </w:p>
        </w:tc>
        <w:tc>
          <w:tcPr>
            <w:tcW w:w="611" w:type="dxa"/>
            <w:vMerge w:val="continue"/>
            <w:tcBorders>
              <w:top w:val="nil"/>
              <w:left w:val="nil"/>
              <w:bottom w:val="single" w:color="auto" w:sz="4" w:space="0"/>
              <w:right w:val="single" w:color="auto" w:sz="4" w:space="0"/>
              <w:tl2br w:val="nil"/>
              <w:tr2bl w:val="nil"/>
            </w:tcBorders>
            <w:shd w:val="clear" w:color="auto" w:fill="auto"/>
            <w:vAlign w:val="center"/>
          </w:tcPr>
          <w:p w14:paraId="103A713B">
            <w:pPr>
              <w:widowControl/>
              <w:rPr>
                <w:rFonts w:ascii="宋体" w:hAnsi="宋体" w:eastAsia="宋体"/>
                <w:b/>
                <w:kern w:val="0"/>
                <w:sz w:val="18"/>
                <w:szCs w:val="18"/>
              </w:rPr>
            </w:pPr>
          </w:p>
        </w:tc>
        <w:tc>
          <w:tcPr>
            <w:tcW w:w="1185" w:type="dxa"/>
            <w:tcBorders>
              <w:top w:val="nil"/>
              <w:left w:val="nil"/>
              <w:bottom w:val="single" w:color="auto" w:sz="4" w:space="0"/>
              <w:right w:val="single" w:color="auto" w:sz="4" w:space="0"/>
              <w:tl2br w:val="nil"/>
              <w:tr2bl w:val="nil"/>
            </w:tcBorders>
            <w:shd w:val="clear" w:color="auto" w:fill="FFFFFF"/>
            <w:vAlign w:val="center"/>
          </w:tcPr>
          <w:p w14:paraId="1C0C21A2">
            <w:pPr>
              <w:widowControl/>
              <w:jc w:val="center"/>
              <w:rPr>
                <w:rFonts w:ascii="宋体" w:hAnsi="宋体" w:eastAsia="宋体"/>
                <w:kern w:val="0"/>
                <w:sz w:val="18"/>
                <w:szCs w:val="18"/>
              </w:rPr>
            </w:pPr>
            <w:r>
              <w:rPr>
                <w:rFonts w:hint="eastAsia" w:ascii="宋体" w:hAnsi="宋体" w:eastAsia="宋体"/>
                <w:kern w:val="0"/>
                <w:sz w:val="18"/>
                <w:szCs w:val="18"/>
              </w:rPr>
              <w:t>3</w:t>
            </w:r>
          </w:p>
        </w:tc>
        <w:tc>
          <w:tcPr>
            <w:tcW w:w="2230" w:type="dxa"/>
            <w:tcBorders>
              <w:top w:val="nil"/>
              <w:left w:val="nil"/>
              <w:bottom w:val="single" w:color="auto" w:sz="4" w:space="0"/>
              <w:right w:val="single" w:color="auto" w:sz="4" w:space="0"/>
              <w:tl2br w:val="nil"/>
              <w:tr2bl w:val="nil"/>
            </w:tcBorders>
            <w:shd w:val="clear" w:color="auto" w:fill="FFFFFF"/>
            <w:vAlign w:val="center"/>
          </w:tcPr>
          <w:p w14:paraId="732AAD23">
            <w:pPr>
              <w:widowControl/>
              <w:jc w:val="center"/>
              <w:rPr>
                <w:rFonts w:ascii="宋体" w:hAnsi="宋体" w:eastAsia="宋体"/>
                <w:kern w:val="0"/>
                <w:sz w:val="18"/>
                <w:szCs w:val="18"/>
              </w:rPr>
            </w:pPr>
            <w:r>
              <w:rPr>
                <w:rFonts w:hint="eastAsia" w:ascii="宋体" w:hAnsi="宋体" w:eastAsia="宋体"/>
                <w:kern w:val="0"/>
                <w:sz w:val="18"/>
                <w:szCs w:val="18"/>
              </w:rPr>
              <w:t>政治</w:t>
            </w:r>
          </w:p>
        </w:tc>
        <w:tc>
          <w:tcPr>
            <w:tcW w:w="720" w:type="dxa"/>
            <w:tcBorders>
              <w:top w:val="nil"/>
              <w:left w:val="nil"/>
              <w:bottom w:val="single" w:color="auto" w:sz="4" w:space="0"/>
              <w:right w:val="single" w:color="auto" w:sz="4" w:space="0"/>
              <w:tl2br w:val="nil"/>
              <w:tr2bl w:val="nil"/>
            </w:tcBorders>
            <w:shd w:val="clear" w:color="auto" w:fill="FFFFFF"/>
            <w:vAlign w:val="center"/>
          </w:tcPr>
          <w:p w14:paraId="46FD8583">
            <w:pPr>
              <w:widowControl/>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144</w:t>
            </w:r>
          </w:p>
        </w:tc>
        <w:tc>
          <w:tcPr>
            <w:tcW w:w="685" w:type="dxa"/>
            <w:gridSpan w:val="2"/>
            <w:tcBorders>
              <w:top w:val="nil"/>
              <w:left w:val="nil"/>
              <w:bottom w:val="single" w:color="auto" w:sz="4" w:space="0"/>
              <w:right w:val="single" w:color="auto" w:sz="4" w:space="0"/>
              <w:tl2br w:val="nil"/>
              <w:tr2bl w:val="nil"/>
            </w:tcBorders>
            <w:shd w:val="clear" w:color="auto" w:fill="FFFFFF"/>
            <w:vAlign w:val="center"/>
          </w:tcPr>
          <w:p w14:paraId="580ECCD6">
            <w:pPr>
              <w:widowControl/>
              <w:jc w:val="center"/>
              <w:rPr>
                <w:rFonts w:ascii="宋体" w:hAnsi="宋体" w:eastAsia="宋体"/>
                <w:kern w:val="0"/>
                <w:sz w:val="18"/>
                <w:szCs w:val="18"/>
              </w:rPr>
            </w:pPr>
            <w:r>
              <w:rPr>
                <w:rFonts w:hint="eastAsia" w:ascii="宋体" w:hAnsi="宋体" w:eastAsia="宋体"/>
                <w:kern w:val="0"/>
                <w:sz w:val="18"/>
                <w:szCs w:val="18"/>
                <w:lang w:val="en-US" w:eastAsia="zh-CN"/>
              </w:rPr>
              <w:t>4</w:t>
            </w:r>
            <w:r>
              <w:rPr>
                <w:rFonts w:hint="eastAsia" w:ascii="宋体" w:hAnsi="宋体" w:eastAsia="宋体"/>
                <w:kern w:val="0"/>
                <w:sz w:val="18"/>
                <w:szCs w:val="18"/>
              </w:rPr>
              <w:t>　</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5A53A90B">
            <w:pPr>
              <w:widowControl/>
              <w:jc w:val="center"/>
              <w:rPr>
                <w:rFonts w:ascii="宋体" w:hAnsi="宋体" w:eastAsia="宋体"/>
                <w:kern w:val="0"/>
                <w:sz w:val="18"/>
                <w:szCs w:val="18"/>
              </w:rPr>
            </w:pPr>
            <w:r>
              <w:rPr>
                <w:rFonts w:hint="eastAsia" w:ascii="宋体" w:hAnsi="宋体" w:eastAsia="宋体"/>
                <w:kern w:val="0"/>
                <w:sz w:val="18"/>
                <w:szCs w:val="18"/>
                <w:lang w:val="en-US" w:eastAsia="zh-CN"/>
              </w:rPr>
              <w:t>4</w:t>
            </w:r>
            <w:r>
              <w:rPr>
                <w:rFonts w:hint="eastAsia" w:ascii="宋体" w:hAnsi="宋体" w:eastAsia="宋体"/>
                <w:kern w:val="0"/>
                <w:sz w:val="18"/>
                <w:szCs w:val="18"/>
              </w:rPr>
              <w:t>　</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69B5F106">
            <w:pPr>
              <w:widowControl/>
              <w:jc w:val="center"/>
              <w:rPr>
                <w:rFonts w:ascii="宋体" w:hAnsi="宋体" w:eastAsia="宋体"/>
                <w:kern w:val="0"/>
                <w:sz w:val="18"/>
                <w:szCs w:val="18"/>
              </w:rPr>
            </w:pPr>
            <w:r>
              <w:rPr>
                <w:rFonts w:hint="eastAsia" w:ascii="宋体" w:hAnsi="宋体" w:eastAsia="宋体"/>
                <w:kern w:val="0"/>
                <w:sz w:val="18"/>
                <w:szCs w:val="18"/>
              </w:rPr>
              <w:t>2</w:t>
            </w:r>
          </w:p>
        </w:tc>
        <w:tc>
          <w:tcPr>
            <w:tcW w:w="567" w:type="dxa"/>
            <w:tcBorders>
              <w:top w:val="nil"/>
              <w:left w:val="nil"/>
              <w:bottom w:val="single" w:color="auto" w:sz="4" w:space="0"/>
              <w:right w:val="single" w:color="auto" w:sz="4" w:space="0"/>
              <w:tl2br w:val="nil"/>
              <w:tr2bl w:val="nil"/>
            </w:tcBorders>
            <w:shd w:val="clear" w:color="auto" w:fill="FFFFFF"/>
            <w:vAlign w:val="center"/>
          </w:tcPr>
          <w:p w14:paraId="0CBBC64E">
            <w:pPr>
              <w:widowControl/>
              <w:jc w:val="center"/>
              <w:rPr>
                <w:rFonts w:ascii="宋体" w:hAnsi="宋体" w:eastAsia="宋体"/>
                <w:kern w:val="0"/>
                <w:sz w:val="18"/>
                <w:szCs w:val="18"/>
              </w:rPr>
            </w:pPr>
            <w:r>
              <w:rPr>
                <w:rFonts w:hint="eastAsia" w:ascii="宋体" w:hAnsi="宋体" w:eastAsia="宋体"/>
                <w:kern w:val="0"/>
                <w:sz w:val="18"/>
                <w:szCs w:val="18"/>
                <w:lang w:val="en-US" w:eastAsia="zh-CN"/>
              </w:rPr>
              <w:t>2</w:t>
            </w:r>
            <w:r>
              <w:rPr>
                <w:rFonts w:hint="eastAsia" w:ascii="宋体" w:hAnsi="宋体" w:eastAsia="宋体"/>
                <w:kern w:val="0"/>
                <w:sz w:val="18"/>
                <w:szCs w:val="18"/>
              </w:rPr>
              <w:t>　</w:t>
            </w:r>
          </w:p>
        </w:tc>
        <w:tc>
          <w:tcPr>
            <w:tcW w:w="1164" w:type="dxa"/>
            <w:vMerge w:val="continue"/>
            <w:tcBorders>
              <w:top w:val="nil"/>
              <w:left w:val="nil"/>
              <w:bottom w:val="single" w:color="auto" w:sz="4" w:space="0"/>
              <w:right w:val="single" w:color="auto" w:sz="4" w:space="0"/>
              <w:tl2br w:val="nil"/>
              <w:tr2bl w:val="nil"/>
            </w:tcBorders>
            <w:vAlign w:val="center"/>
          </w:tcPr>
          <w:p w14:paraId="74BE8BB0">
            <w:pPr>
              <w:widowControl/>
              <w:rPr>
                <w:rFonts w:ascii="宋体" w:hAnsi="宋体" w:eastAsia="宋体"/>
                <w:kern w:val="0"/>
                <w:sz w:val="18"/>
                <w:szCs w:val="18"/>
              </w:rPr>
            </w:pPr>
          </w:p>
        </w:tc>
      </w:tr>
      <w:tr w14:paraId="6812C78B">
        <w:tblPrEx>
          <w:tblCellMar>
            <w:top w:w="0" w:type="dxa"/>
            <w:left w:w="108" w:type="dxa"/>
            <w:bottom w:w="0" w:type="dxa"/>
            <w:right w:w="108" w:type="dxa"/>
          </w:tblCellMar>
        </w:tblPrEx>
        <w:trPr>
          <w:trHeight w:val="284" w:hRule="atLeast"/>
        </w:trPr>
        <w:tc>
          <w:tcPr>
            <w:tcW w:w="680"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14:paraId="6AE74198">
            <w:pPr>
              <w:widowControl/>
              <w:rPr>
                <w:rFonts w:ascii="宋体" w:hAnsi="宋体" w:eastAsia="宋体"/>
                <w:b/>
                <w:kern w:val="0"/>
                <w:sz w:val="18"/>
                <w:szCs w:val="18"/>
              </w:rPr>
            </w:pPr>
          </w:p>
        </w:tc>
        <w:tc>
          <w:tcPr>
            <w:tcW w:w="611" w:type="dxa"/>
            <w:vMerge w:val="continue"/>
            <w:tcBorders>
              <w:top w:val="nil"/>
              <w:left w:val="nil"/>
              <w:bottom w:val="single" w:color="auto" w:sz="4" w:space="0"/>
              <w:right w:val="single" w:color="auto" w:sz="4" w:space="0"/>
              <w:tl2br w:val="nil"/>
              <w:tr2bl w:val="nil"/>
            </w:tcBorders>
            <w:shd w:val="clear" w:color="auto" w:fill="auto"/>
            <w:vAlign w:val="center"/>
          </w:tcPr>
          <w:p w14:paraId="790FBB70">
            <w:pPr>
              <w:widowControl/>
              <w:rPr>
                <w:rFonts w:ascii="宋体" w:hAnsi="宋体" w:eastAsia="宋体"/>
                <w:b/>
                <w:kern w:val="0"/>
                <w:sz w:val="18"/>
                <w:szCs w:val="18"/>
              </w:rPr>
            </w:pPr>
          </w:p>
        </w:tc>
        <w:tc>
          <w:tcPr>
            <w:tcW w:w="1185" w:type="dxa"/>
            <w:tcBorders>
              <w:top w:val="nil"/>
              <w:left w:val="nil"/>
              <w:bottom w:val="single" w:color="auto" w:sz="4" w:space="0"/>
              <w:right w:val="single" w:color="auto" w:sz="4" w:space="0"/>
              <w:tl2br w:val="nil"/>
              <w:tr2bl w:val="nil"/>
            </w:tcBorders>
            <w:shd w:val="clear" w:color="auto" w:fill="FFFFFF"/>
            <w:vAlign w:val="center"/>
          </w:tcPr>
          <w:p w14:paraId="30590048">
            <w:pPr>
              <w:widowControl/>
              <w:jc w:val="center"/>
              <w:rPr>
                <w:rFonts w:ascii="宋体" w:hAnsi="宋体" w:eastAsia="宋体"/>
                <w:kern w:val="0"/>
                <w:sz w:val="18"/>
                <w:szCs w:val="18"/>
              </w:rPr>
            </w:pPr>
            <w:r>
              <w:rPr>
                <w:rFonts w:hint="eastAsia" w:ascii="宋体" w:hAnsi="宋体" w:eastAsia="宋体"/>
                <w:kern w:val="0"/>
                <w:sz w:val="18"/>
                <w:szCs w:val="18"/>
              </w:rPr>
              <w:t>4</w:t>
            </w:r>
          </w:p>
        </w:tc>
        <w:tc>
          <w:tcPr>
            <w:tcW w:w="2230" w:type="dxa"/>
            <w:tcBorders>
              <w:top w:val="nil"/>
              <w:left w:val="nil"/>
              <w:bottom w:val="single" w:color="auto" w:sz="4" w:space="0"/>
              <w:right w:val="single" w:color="auto" w:sz="4" w:space="0"/>
              <w:tl2br w:val="nil"/>
              <w:tr2bl w:val="nil"/>
            </w:tcBorders>
            <w:shd w:val="clear" w:color="auto" w:fill="FFFFFF"/>
            <w:vAlign w:val="center"/>
          </w:tcPr>
          <w:p w14:paraId="19134202">
            <w:pPr>
              <w:widowControl/>
              <w:jc w:val="center"/>
              <w:rPr>
                <w:rFonts w:ascii="宋体" w:hAnsi="宋体" w:eastAsia="宋体"/>
                <w:kern w:val="0"/>
                <w:sz w:val="18"/>
                <w:szCs w:val="18"/>
              </w:rPr>
            </w:pPr>
            <w:r>
              <w:rPr>
                <w:rFonts w:hint="eastAsia" w:ascii="宋体" w:hAnsi="宋体" w:eastAsia="宋体"/>
                <w:kern w:val="0"/>
                <w:sz w:val="18"/>
                <w:szCs w:val="18"/>
              </w:rPr>
              <w:t>职业道德与法律</w:t>
            </w:r>
          </w:p>
        </w:tc>
        <w:tc>
          <w:tcPr>
            <w:tcW w:w="720" w:type="dxa"/>
            <w:tcBorders>
              <w:top w:val="nil"/>
              <w:left w:val="nil"/>
              <w:bottom w:val="single" w:color="auto" w:sz="4" w:space="0"/>
              <w:right w:val="single" w:color="auto" w:sz="4" w:space="0"/>
              <w:tl2br w:val="nil"/>
              <w:tr2bl w:val="nil"/>
            </w:tcBorders>
            <w:shd w:val="clear" w:color="auto" w:fill="FFFFFF"/>
            <w:vAlign w:val="center"/>
          </w:tcPr>
          <w:p w14:paraId="0FE05F8A">
            <w:pPr>
              <w:widowControl/>
              <w:jc w:val="center"/>
              <w:rPr>
                <w:rFonts w:ascii="宋体" w:hAnsi="宋体" w:eastAsia="宋体"/>
                <w:kern w:val="0"/>
                <w:sz w:val="18"/>
                <w:szCs w:val="18"/>
              </w:rPr>
            </w:pPr>
            <w:r>
              <w:rPr>
                <w:rFonts w:hint="eastAsia" w:ascii="宋体" w:hAnsi="宋体" w:eastAsia="宋体"/>
                <w:kern w:val="0"/>
                <w:sz w:val="18"/>
                <w:szCs w:val="18"/>
              </w:rPr>
              <w:t>32</w:t>
            </w:r>
          </w:p>
        </w:tc>
        <w:tc>
          <w:tcPr>
            <w:tcW w:w="685" w:type="dxa"/>
            <w:gridSpan w:val="2"/>
            <w:tcBorders>
              <w:top w:val="nil"/>
              <w:left w:val="nil"/>
              <w:bottom w:val="single" w:color="auto" w:sz="4" w:space="0"/>
              <w:right w:val="single" w:color="auto" w:sz="4" w:space="0"/>
              <w:tl2br w:val="nil"/>
              <w:tr2bl w:val="nil"/>
            </w:tcBorders>
            <w:shd w:val="clear" w:color="auto" w:fill="FFFFFF"/>
            <w:vAlign w:val="center"/>
          </w:tcPr>
          <w:p w14:paraId="6297C305">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0D2E1D17">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363399EE">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567" w:type="dxa"/>
            <w:tcBorders>
              <w:top w:val="nil"/>
              <w:left w:val="nil"/>
              <w:bottom w:val="single" w:color="auto" w:sz="4" w:space="0"/>
              <w:right w:val="single" w:color="auto" w:sz="4" w:space="0"/>
              <w:tl2br w:val="nil"/>
              <w:tr2bl w:val="nil"/>
            </w:tcBorders>
            <w:shd w:val="clear" w:color="auto" w:fill="FFFFFF"/>
            <w:vAlign w:val="center"/>
          </w:tcPr>
          <w:p w14:paraId="34FA1BB6">
            <w:pPr>
              <w:widowControl/>
              <w:jc w:val="center"/>
              <w:rPr>
                <w:rFonts w:ascii="宋体" w:hAnsi="宋体" w:eastAsia="宋体"/>
                <w:kern w:val="0"/>
                <w:sz w:val="18"/>
                <w:szCs w:val="18"/>
              </w:rPr>
            </w:pPr>
            <w:r>
              <w:rPr>
                <w:rFonts w:hint="eastAsia" w:ascii="宋体" w:hAnsi="宋体" w:eastAsia="宋体"/>
                <w:kern w:val="0"/>
                <w:sz w:val="18"/>
                <w:szCs w:val="18"/>
              </w:rPr>
              <w:t>2</w:t>
            </w:r>
          </w:p>
        </w:tc>
        <w:tc>
          <w:tcPr>
            <w:tcW w:w="1164" w:type="dxa"/>
            <w:vMerge w:val="continue"/>
            <w:tcBorders>
              <w:top w:val="nil"/>
              <w:left w:val="nil"/>
              <w:bottom w:val="single" w:color="auto" w:sz="4" w:space="0"/>
              <w:right w:val="single" w:color="auto" w:sz="4" w:space="0"/>
              <w:tl2br w:val="nil"/>
              <w:tr2bl w:val="nil"/>
            </w:tcBorders>
            <w:vAlign w:val="center"/>
          </w:tcPr>
          <w:p w14:paraId="20E92901">
            <w:pPr>
              <w:widowControl/>
              <w:rPr>
                <w:rFonts w:ascii="宋体" w:hAnsi="宋体" w:eastAsia="宋体"/>
                <w:kern w:val="0"/>
                <w:sz w:val="18"/>
                <w:szCs w:val="18"/>
              </w:rPr>
            </w:pPr>
          </w:p>
        </w:tc>
      </w:tr>
      <w:tr w14:paraId="7048BBC6">
        <w:tblPrEx>
          <w:tblCellMar>
            <w:top w:w="0" w:type="dxa"/>
            <w:left w:w="108" w:type="dxa"/>
            <w:bottom w:w="0" w:type="dxa"/>
            <w:right w:w="108" w:type="dxa"/>
          </w:tblCellMar>
        </w:tblPrEx>
        <w:trPr>
          <w:trHeight w:val="284" w:hRule="atLeast"/>
        </w:trPr>
        <w:tc>
          <w:tcPr>
            <w:tcW w:w="680"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14:paraId="179D26F9">
            <w:pPr>
              <w:widowControl/>
              <w:rPr>
                <w:rFonts w:ascii="宋体" w:hAnsi="宋体" w:eastAsia="宋体"/>
                <w:b/>
                <w:kern w:val="0"/>
                <w:sz w:val="18"/>
                <w:szCs w:val="18"/>
              </w:rPr>
            </w:pPr>
          </w:p>
        </w:tc>
        <w:tc>
          <w:tcPr>
            <w:tcW w:w="611" w:type="dxa"/>
            <w:vMerge w:val="continue"/>
            <w:tcBorders>
              <w:top w:val="nil"/>
              <w:left w:val="nil"/>
              <w:bottom w:val="single" w:color="auto" w:sz="4" w:space="0"/>
              <w:right w:val="single" w:color="auto" w:sz="4" w:space="0"/>
              <w:tl2br w:val="nil"/>
              <w:tr2bl w:val="nil"/>
            </w:tcBorders>
            <w:shd w:val="clear" w:color="auto" w:fill="auto"/>
            <w:vAlign w:val="center"/>
          </w:tcPr>
          <w:p w14:paraId="0BCD5A3E">
            <w:pPr>
              <w:widowControl/>
              <w:rPr>
                <w:rFonts w:ascii="宋体" w:hAnsi="宋体" w:eastAsia="宋体"/>
                <w:b/>
                <w:kern w:val="0"/>
                <w:sz w:val="18"/>
                <w:szCs w:val="18"/>
              </w:rPr>
            </w:pPr>
          </w:p>
        </w:tc>
        <w:tc>
          <w:tcPr>
            <w:tcW w:w="1185" w:type="dxa"/>
            <w:tcBorders>
              <w:top w:val="nil"/>
              <w:left w:val="nil"/>
              <w:bottom w:val="single" w:color="auto" w:sz="4" w:space="0"/>
              <w:right w:val="single" w:color="auto" w:sz="4" w:space="0"/>
              <w:tl2br w:val="nil"/>
              <w:tr2bl w:val="nil"/>
            </w:tcBorders>
            <w:shd w:val="clear" w:color="auto" w:fill="FFFFFF"/>
            <w:vAlign w:val="center"/>
          </w:tcPr>
          <w:p w14:paraId="740F059C">
            <w:pPr>
              <w:widowControl/>
              <w:jc w:val="center"/>
              <w:rPr>
                <w:rFonts w:ascii="宋体" w:hAnsi="宋体" w:eastAsia="宋体"/>
                <w:kern w:val="0"/>
                <w:sz w:val="18"/>
                <w:szCs w:val="18"/>
              </w:rPr>
            </w:pPr>
            <w:r>
              <w:rPr>
                <w:rFonts w:hint="eastAsia" w:ascii="宋体" w:hAnsi="宋体" w:eastAsia="宋体"/>
                <w:kern w:val="0"/>
                <w:sz w:val="18"/>
                <w:szCs w:val="18"/>
              </w:rPr>
              <w:t>5</w:t>
            </w:r>
          </w:p>
        </w:tc>
        <w:tc>
          <w:tcPr>
            <w:tcW w:w="2230" w:type="dxa"/>
            <w:tcBorders>
              <w:top w:val="nil"/>
              <w:left w:val="nil"/>
              <w:bottom w:val="single" w:color="auto" w:sz="4" w:space="0"/>
              <w:right w:val="single" w:color="auto" w:sz="4" w:space="0"/>
              <w:tl2br w:val="nil"/>
              <w:tr2bl w:val="nil"/>
            </w:tcBorders>
            <w:shd w:val="clear" w:color="auto" w:fill="FFFFFF"/>
            <w:vAlign w:val="center"/>
          </w:tcPr>
          <w:p w14:paraId="13E64D94">
            <w:pPr>
              <w:widowControl/>
              <w:jc w:val="center"/>
              <w:rPr>
                <w:rFonts w:ascii="宋体" w:hAnsi="宋体" w:eastAsia="宋体"/>
                <w:kern w:val="0"/>
                <w:sz w:val="18"/>
                <w:szCs w:val="18"/>
              </w:rPr>
            </w:pPr>
            <w:r>
              <w:rPr>
                <w:rFonts w:hint="eastAsia" w:ascii="宋体" w:hAnsi="宋体" w:eastAsia="宋体"/>
                <w:kern w:val="0"/>
                <w:sz w:val="18"/>
                <w:szCs w:val="18"/>
              </w:rPr>
              <w:t>体育与健康</w:t>
            </w:r>
          </w:p>
        </w:tc>
        <w:tc>
          <w:tcPr>
            <w:tcW w:w="720" w:type="dxa"/>
            <w:tcBorders>
              <w:top w:val="nil"/>
              <w:left w:val="nil"/>
              <w:bottom w:val="single" w:color="auto" w:sz="4" w:space="0"/>
              <w:right w:val="single" w:color="auto" w:sz="4" w:space="0"/>
              <w:tl2br w:val="nil"/>
              <w:tr2bl w:val="nil"/>
            </w:tcBorders>
            <w:shd w:val="clear" w:color="auto" w:fill="FFFFFF"/>
            <w:vAlign w:val="center"/>
          </w:tcPr>
          <w:p w14:paraId="59195B64">
            <w:pPr>
              <w:widowControl/>
              <w:jc w:val="center"/>
              <w:rPr>
                <w:rFonts w:ascii="宋体" w:hAnsi="宋体" w:eastAsia="宋体"/>
                <w:kern w:val="0"/>
                <w:sz w:val="18"/>
                <w:szCs w:val="18"/>
              </w:rPr>
            </w:pPr>
            <w:r>
              <w:rPr>
                <w:rFonts w:hint="eastAsia" w:ascii="宋体" w:hAnsi="宋体" w:eastAsia="宋体"/>
                <w:kern w:val="0"/>
                <w:sz w:val="18"/>
                <w:szCs w:val="18"/>
              </w:rPr>
              <w:t>128</w:t>
            </w:r>
          </w:p>
        </w:tc>
        <w:tc>
          <w:tcPr>
            <w:tcW w:w="685" w:type="dxa"/>
            <w:gridSpan w:val="2"/>
            <w:tcBorders>
              <w:top w:val="nil"/>
              <w:left w:val="nil"/>
              <w:bottom w:val="single" w:color="auto" w:sz="4" w:space="0"/>
              <w:right w:val="single" w:color="auto" w:sz="4" w:space="0"/>
              <w:tl2br w:val="nil"/>
              <w:tr2bl w:val="nil"/>
            </w:tcBorders>
            <w:shd w:val="clear" w:color="auto" w:fill="FFFFFF"/>
            <w:vAlign w:val="center"/>
          </w:tcPr>
          <w:p w14:paraId="5A9FDE57">
            <w:pPr>
              <w:widowControl/>
              <w:jc w:val="center"/>
              <w:rPr>
                <w:rFonts w:ascii="宋体" w:hAnsi="宋体" w:eastAsia="宋体"/>
                <w:kern w:val="0"/>
                <w:sz w:val="18"/>
                <w:szCs w:val="18"/>
              </w:rPr>
            </w:pPr>
            <w:r>
              <w:rPr>
                <w:rFonts w:hint="eastAsia" w:ascii="宋体" w:hAnsi="宋体" w:eastAsia="宋体"/>
                <w:kern w:val="0"/>
                <w:sz w:val="18"/>
                <w:szCs w:val="18"/>
              </w:rPr>
              <w:t>2</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0478EA1C">
            <w:pPr>
              <w:widowControl/>
              <w:jc w:val="center"/>
              <w:rPr>
                <w:rFonts w:ascii="宋体" w:hAnsi="宋体" w:eastAsia="宋体"/>
                <w:kern w:val="0"/>
                <w:sz w:val="18"/>
                <w:szCs w:val="18"/>
              </w:rPr>
            </w:pPr>
            <w:r>
              <w:rPr>
                <w:rFonts w:hint="eastAsia" w:ascii="宋体" w:hAnsi="宋体" w:eastAsia="宋体"/>
                <w:kern w:val="0"/>
                <w:sz w:val="18"/>
                <w:szCs w:val="18"/>
              </w:rPr>
              <w:t>2</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5840F41D">
            <w:pPr>
              <w:widowControl/>
              <w:jc w:val="center"/>
              <w:rPr>
                <w:rFonts w:ascii="宋体" w:hAnsi="宋体" w:eastAsia="宋体"/>
                <w:kern w:val="0"/>
                <w:sz w:val="18"/>
                <w:szCs w:val="18"/>
              </w:rPr>
            </w:pPr>
            <w:r>
              <w:rPr>
                <w:rFonts w:hint="eastAsia" w:ascii="宋体" w:hAnsi="宋体" w:eastAsia="宋体"/>
                <w:kern w:val="0"/>
                <w:sz w:val="18"/>
                <w:szCs w:val="18"/>
              </w:rPr>
              <w:t>2</w:t>
            </w:r>
          </w:p>
        </w:tc>
        <w:tc>
          <w:tcPr>
            <w:tcW w:w="567" w:type="dxa"/>
            <w:tcBorders>
              <w:top w:val="nil"/>
              <w:left w:val="nil"/>
              <w:bottom w:val="single" w:color="auto" w:sz="4" w:space="0"/>
              <w:right w:val="single" w:color="auto" w:sz="4" w:space="0"/>
              <w:tl2br w:val="nil"/>
              <w:tr2bl w:val="nil"/>
            </w:tcBorders>
            <w:shd w:val="clear" w:color="auto" w:fill="FFFFFF"/>
            <w:vAlign w:val="center"/>
          </w:tcPr>
          <w:p w14:paraId="2148423A">
            <w:pPr>
              <w:widowControl/>
              <w:jc w:val="center"/>
              <w:rPr>
                <w:rFonts w:ascii="宋体" w:hAnsi="宋体" w:eastAsia="宋体"/>
                <w:kern w:val="0"/>
                <w:sz w:val="18"/>
                <w:szCs w:val="18"/>
              </w:rPr>
            </w:pPr>
            <w:r>
              <w:rPr>
                <w:rFonts w:hint="eastAsia" w:ascii="宋体" w:hAnsi="宋体" w:eastAsia="宋体"/>
                <w:kern w:val="0"/>
                <w:sz w:val="18"/>
                <w:szCs w:val="18"/>
              </w:rPr>
              <w:t>2</w:t>
            </w:r>
          </w:p>
        </w:tc>
        <w:tc>
          <w:tcPr>
            <w:tcW w:w="1164" w:type="dxa"/>
            <w:vMerge w:val="continue"/>
            <w:tcBorders>
              <w:top w:val="nil"/>
              <w:left w:val="nil"/>
              <w:bottom w:val="single" w:color="auto" w:sz="4" w:space="0"/>
              <w:right w:val="single" w:color="auto" w:sz="4" w:space="0"/>
              <w:tl2br w:val="nil"/>
              <w:tr2bl w:val="nil"/>
            </w:tcBorders>
            <w:vAlign w:val="center"/>
          </w:tcPr>
          <w:p w14:paraId="1A381835">
            <w:pPr>
              <w:widowControl/>
              <w:rPr>
                <w:rFonts w:ascii="宋体" w:hAnsi="宋体" w:eastAsia="宋体"/>
                <w:kern w:val="0"/>
                <w:sz w:val="18"/>
                <w:szCs w:val="18"/>
              </w:rPr>
            </w:pPr>
          </w:p>
        </w:tc>
      </w:tr>
      <w:tr w14:paraId="78B85E1B">
        <w:tblPrEx>
          <w:tblCellMar>
            <w:top w:w="0" w:type="dxa"/>
            <w:left w:w="108" w:type="dxa"/>
            <w:bottom w:w="0" w:type="dxa"/>
            <w:right w:w="108" w:type="dxa"/>
          </w:tblCellMar>
        </w:tblPrEx>
        <w:trPr>
          <w:trHeight w:val="284" w:hRule="atLeast"/>
        </w:trPr>
        <w:tc>
          <w:tcPr>
            <w:tcW w:w="680"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14:paraId="614AC040">
            <w:pPr>
              <w:widowControl/>
              <w:rPr>
                <w:rFonts w:ascii="宋体" w:hAnsi="宋体" w:eastAsia="宋体"/>
                <w:b/>
                <w:kern w:val="0"/>
                <w:sz w:val="18"/>
                <w:szCs w:val="18"/>
              </w:rPr>
            </w:pPr>
          </w:p>
        </w:tc>
        <w:tc>
          <w:tcPr>
            <w:tcW w:w="611" w:type="dxa"/>
            <w:vMerge w:val="continue"/>
            <w:tcBorders>
              <w:top w:val="nil"/>
              <w:left w:val="nil"/>
              <w:bottom w:val="single" w:color="auto" w:sz="4" w:space="0"/>
              <w:right w:val="single" w:color="auto" w:sz="4" w:space="0"/>
              <w:tl2br w:val="nil"/>
              <w:tr2bl w:val="nil"/>
            </w:tcBorders>
            <w:shd w:val="clear" w:color="auto" w:fill="auto"/>
            <w:vAlign w:val="center"/>
          </w:tcPr>
          <w:p w14:paraId="1B16A17A">
            <w:pPr>
              <w:widowControl/>
              <w:rPr>
                <w:rFonts w:ascii="宋体" w:hAnsi="宋体" w:eastAsia="宋体"/>
                <w:b/>
                <w:kern w:val="0"/>
                <w:sz w:val="18"/>
                <w:szCs w:val="18"/>
              </w:rPr>
            </w:pPr>
          </w:p>
        </w:tc>
        <w:tc>
          <w:tcPr>
            <w:tcW w:w="1185" w:type="dxa"/>
            <w:tcBorders>
              <w:top w:val="nil"/>
              <w:left w:val="nil"/>
              <w:bottom w:val="single" w:color="auto" w:sz="4" w:space="0"/>
              <w:right w:val="single" w:color="auto" w:sz="4" w:space="0"/>
              <w:tl2br w:val="nil"/>
              <w:tr2bl w:val="nil"/>
            </w:tcBorders>
            <w:shd w:val="clear" w:color="auto" w:fill="FFFFFF"/>
            <w:vAlign w:val="center"/>
          </w:tcPr>
          <w:p w14:paraId="25DC739C">
            <w:pPr>
              <w:widowControl/>
              <w:jc w:val="center"/>
              <w:rPr>
                <w:rFonts w:ascii="宋体" w:hAnsi="宋体" w:eastAsia="宋体"/>
                <w:kern w:val="0"/>
                <w:sz w:val="18"/>
                <w:szCs w:val="18"/>
              </w:rPr>
            </w:pPr>
            <w:r>
              <w:rPr>
                <w:rFonts w:hint="eastAsia" w:ascii="宋体" w:hAnsi="宋体" w:eastAsia="宋体"/>
                <w:kern w:val="0"/>
                <w:sz w:val="18"/>
                <w:szCs w:val="18"/>
              </w:rPr>
              <w:t>6</w:t>
            </w:r>
          </w:p>
        </w:tc>
        <w:tc>
          <w:tcPr>
            <w:tcW w:w="2230" w:type="dxa"/>
            <w:tcBorders>
              <w:top w:val="nil"/>
              <w:left w:val="nil"/>
              <w:bottom w:val="single" w:color="auto" w:sz="4" w:space="0"/>
              <w:right w:val="single" w:color="auto" w:sz="4" w:space="0"/>
              <w:tl2br w:val="nil"/>
              <w:tr2bl w:val="nil"/>
            </w:tcBorders>
            <w:shd w:val="clear" w:color="auto" w:fill="FFFFFF"/>
            <w:vAlign w:val="center"/>
          </w:tcPr>
          <w:p w14:paraId="00022E36">
            <w:pPr>
              <w:widowControl/>
              <w:jc w:val="center"/>
              <w:rPr>
                <w:rFonts w:ascii="宋体" w:hAnsi="宋体" w:eastAsia="宋体"/>
                <w:kern w:val="0"/>
                <w:sz w:val="18"/>
                <w:szCs w:val="18"/>
              </w:rPr>
            </w:pPr>
            <w:r>
              <w:rPr>
                <w:rFonts w:hint="eastAsia" w:ascii="宋体" w:hAnsi="宋体" w:eastAsia="宋体"/>
                <w:kern w:val="0"/>
                <w:sz w:val="18"/>
                <w:szCs w:val="18"/>
              </w:rPr>
              <w:t>公共艺术</w:t>
            </w:r>
          </w:p>
        </w:tc>
        <w:tc>
          <w:tcPr>
            <w:tcW w:w="720" w:type="dxa"/>
            <w:tcBorders>
              <w:top w:val="nil"/>
              <w:left w:val="nil"/>
              <w:bottom w:val="single" w:color="auto" w:sz="4" w:space="0"/>
              <w:right w:val="single" w:color="auto" w:sz="4" w:space="0"/>
              <w:tl2br w:val="nil"/>
              <w:tr2bl w:val="nil"/>
            </w:tcBorders>
            <w:shd w:val="clear" w:color="auto" w:fill="FFFFFF"/>
            <w:vAlign w:val="center"/>
          </w:tcPr>
          <w:p w14:paraId="3BA0743B">
            <w:pPr>
              <w:widowControl/>
              <w:jc w:val="center"/>
              <w:rPr>
                <w:rFonts w:ascii="宋体" w:hAnsi="宋体" w:eastAsia="宋体"/>
                <w:kern w:val="0"/>
                <w:sz w:val="18"/>
                <w:szCs w:val="18"/>
              </w:rPr>
            </w:pPr>
            <w:r>
              <w:rPr>
                <w:rFonts w:hint="eastAsia" w:ascii="宋体" w:hAnsi="宋体" w:eastAsia="宋体"/>
                <w:kern w:val="0"/>
                <w:sz w:val="18"/>
                <w:szCs w:val="18"/>
              </w:rPr>
              <w:t>64</w:t>
            </w:r>
          </w:p>
        </w:tc>
        <w:tc>
          <w:tcPr>
            <w:tcW w:w="685" w:type="dxa"/>
            <w:gridSpan w:val="2"/>
            <w:tcBorders>
              <w:top w:val="nil"/>
              <w:left w:val="nil"/>
              <w:bottom w:val="single" w:color="auto" w:sz="4" w:space="0"/>
              <w:right w:val="single" w:color="auto" w:sz="4" w:space="0"/>
              <w:tl2br w:val="nil"/>
              <w:tr2bl w:val="nil"/>
            </w:tcBorders>
            <w:shd w:val="clear" w:color="auto" w:fill="FFFFFF"/>
            <w:vAlign w:val="center"/>
          </w:tcPr>
          <w:p w14:paraId="310619FC">
            <w:pPr>
              <w:widowControl/>
              <w:jc w:val="center"/>
              <w:rPr>
                <w:rFonts w:ascii="宋体" w:hAnsi="宋体" w:eastAsia="宋体"/>
                <w:kern w:val="0"/>
                <w:sz w:val="18"/>
                <w:szCs w:val="18"/>
              </w:rPr>
            </w:pPr>
            <w:r>
              <w:rPr>
                <w:rFonts w:hint="eastAsia" w:ascii="宋体" w:hAnsi="宋体" w:eastAsia="宋体"/>
                <w:kern w:val="0"/>
                <w:sz w:val="18"/>
                <w:szCs w:val="18"/>
              </w:rPr>
              <w:t>2</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15E48E86">
            <w:pPr>
              <w:widowControl/>
              <w:jc w:val="center"/>
              <w:rPr>
                <w:rFonts w:ascii="宋体" w:hAnsi="宋体" w:eastAsia="宋体"/>
                <w:kern w:val="0"/>
                <w:sz w:val="18"/>
                <w:szCs w:val="18"/>
              </w:rPr>
            </w:pPr>
            <w:r>
              <w:rPr>
                <w:rFonts w:hint="eastAsia" w:ascii="宋体" w:hAnsi="宋体" w:eastAsia="宋体"/>
                <w:kern w:val="0"/>
                <w:sz w:val="18"/>
                <w:szCs w:val="18"/>
              </w:rPr>
              <w:t>2</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12B5F028">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567" w:type="dxa"/>
            <w:tcBorders>
              <w:top w:val="nil"/>
              <w:left w:val="nil"/>
              <w:bottom w:val="single" w:color="auto" w:sz="4" w:space="0"/>
              <w:right w:val="single" w:color="auto" w:sz="4" w:space="0"/>
              <w:tl2br w:val="nil"/>
              <w:tr2bl w:val="nil"/>
            </w:tcBorders>
            <w:shd w:val="clear" w:color="auto" w:fill="FFFFFF"/>
            <w:vAlign w:val="center"/>
          </w:tcPr>
          <w:p w14:paraId="68C27DF8">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1164" w:type="dxa"/>
            <w:vMerge w:val="continue"/>
            <w:tcBorders>
              <w:top w:val="nil"/>
              <w:left w:val="nil"/>
              <w:bottom w:val="single" w:color="auto" w:sz="4" w:space="0"/>
              <w:right w:val="single" w:color="auto" w:sz="4" w:space="0"/>
              <w:tl2br w:val="nil"/>
              <w:tr2bl w:val="nil"/>
            </w:tcBorders>
            <w:vAlign w:val="center"/>
          </w:tcPr>
          <w:p w14:paraId="70716A10">
            <w:pPr>
              <w:widowControl/>
              <w:rPr>
                <w:rFonts w:ascii="宋体" w:hAnsi="宋体" w:eastAsia="宋体"/>
                <w:kern w:val="0"/>
                <w:sz w:val="18"/>
                <w:szCs w:val="18"/>
              </w:rPr>
            </w:pPr>
          </w:p>
        </w:tc>
      </w:tr>
      <w:tr w14:paraId="099AA442">
        <w:tblPrEx>
          <w:tblCellMar>
            <w:top w:w="0" w:type="dxa"/>
            <w:left w:w="108" w:type="dxa"/>
            <w:bottom w:w="0" w:type="dxa"/>
            <w:right w:w="108" w:type="dxa"/>
          </w:tblCellMar>
        </w:tblPrEx>
        <w:trPr>
          <w:trHeight w:val="284" w:hRule="atLeast"/>
        </w:trPr>
        <w:tc>
          <w:tcPr>
            <w:tcW w:w="680"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14:paraId="21AE4D9F">
            <w:pPr>
              <w:widowControl/>
              <w:rPr>
                <w:rFonts w:ascii="宋体" w:hAnsi="宋体" w:eastAsia="宋体"/>
                <w:b/>
                <w:kern w:val="0"/>
                <w:sz w:val="18"/>
                <w:szCs w:val="18"/>
              </w:rPr>
            </w:pPr>
          </w:p>
        </w:tc>
        <w:tc>
          <w:tcPr>
            <w:tcW w:w="611" w:type="dxa"/>
            <w:vMerge w:val="continue"/>
            <w:tcBorders>
              <w:top w:val="nil"/>
              <w:left w:val="nil"/>
              <w:bottom w:val="single" w:color="auto" w:sz="4" w:space="0"/>
              <w:right w:val="single" w:color="auto" w:sz="4" w:space="0"/>
              <w:tl2br w:val="nil"/>
              <w:tr2bl w:val="nil"/>
            </w:tcBorders>
            <w:shd w:val="clear" w:color="auto" w:fill="auto"/>
            <w:vAlign w:val="center"/>
          </w:tcPr>
          <w:p w14:paraId="051E1C9E">
            <w:pPr>
              <w:widowControl/>
              <w:rPr>
                <w:rFonts w:ascii="宋体" w:hAnsi="宋体" w:eastAsia="宋体"/>
                <w:b/>
                <w:kern w:val="0"/>
                <w:sz w:val="18"/>
                <w:szCs w:val="18"/>
              </w:rPr>
            </w:pPr>
          </w:p>
        </w:tc>
        <w:tc>
          <w:tcPr>
            <w:tcW w:w="1185" w:type="dxa"/>
            <w:tcBorders>
              <w:top w:val="nil"/>
              <w:left w:val="nil"/>
              <w:bottom w:val="single" w:color="auto" w:sz="4" w:space="0"/>
              <w:right w:val="single" w:color="auto" w:sz="4" w:space="0"/>
              <w:tl2br w:val="nil"/>
              <w:tr2bl w:val="nil"/>
            </w:tcBorders>
            <w:shd w:val="clear" w:color="auto" w:fill="FFFFFF"/>
            <w:vAlign w:val="center"/>
          </w:tcPr>
          <w:p w14:paraId="5DAB6C17">
            <w:pPr>
              <w:widowControl/>
              <w:jc w:val="center"/>
              <w:rPr>
                <w:rFonts w:ascii="宋体" w:hAnsi="宋体" w:eastAsia="宋体"/>
                <w:kern w:val="0"/>
                <w:sz w:val="18"/>
                <w:szCs w:val="18"/>
              </w:rPr>
            </w:pPr>
            <w:r>
              <w:rPr>
                <w:rFonts w:hint="eastAsia" w:ascii="宋体" w:hAnsi="宋体" w:eastAsia="宋体"/>
                <w:kern w:val="0"/>
                <w:sz w:val="18"/>
                <w:szCs w:val="18"/>
              </w:rPr>
              <w:t>7</w:t>
            </w:r>
          </w:p>
        </w:tc>
        <w:tc>
          <w:tcPr>
            <w:tcW w:w="2230" w:type="dxa"/>
            <w:tcBorders>
              <w:top w:val="nil"/>
              <w:left w:val="nil"/>
              <w:bottom w:val="single" w:color="auto" w:sz="4" w:space="0"/>
              <w:right w:val="single" w:color="auto" w:sz="4" w:space="0"/>
              <w:tl2br w:val="nil"/>
              <w:tr2bl w:val="nil"/>
            </w:tcBorders>
            <w:shd w:val="clear" w:color="auto" w:fill="FFFFFF"/>
            <w:vAlign w:val="center"/>
          </w:tcPr>
          <w:p w14:paraId="5E723E57">
            <w:pPr>
              <w:widowControl/>
              <w:jc w:val="center"/>
              <w:rPr>
                <w:rFonts w:ascii="宋体" w:hAnsi="宋体" w:eastAsia="宋体"/>
                <w:kern w:val="0"/>
                <w:sz w:val="18"/>
                <w:szCs w:val="18"/>
              </w:rPr>
            </w:pPr>
            <w:r>
              <w:rPr>
                <w:rFonts w:hint="eastAsia" w:ascii="宋体" w:hAnsi="宋体" w:eastAsia="宋体"/>
                <w:kern w:val="0"/>
                <w:sz w:val="18"/>
                <w:szCs w:val="18"/>
              </w:rPr>
              <w:t>语文</w:t>
            </w:r>
          </w:p>
        </w:tc>
        <w:tc>
          <w:tcPr>
            <w:tcW w:w="720" w:type="dxa"/>
            <w:tcBorders>
              <w:top w:val="nil"/>
              <w:left w:val="nil"/>
              <w:bottom w:val="single" w:color="auto" w:sz="4" w:space="0"/>
              <w:right w:val="single" w:color="auto" w:sz="4" w:space="0"/>
              <w:tl2br w:val="nil"/>
              <w:tr2bl w:val="nil"/>
            </w:tcBorders>
            <w:shd w:val="clear" w:color="auto" w:fill="FFFFFF"/>
            <w:vAlign w:val="center"/>
          </w:tcPr>
          <w:p w14:paraId="2A3DD8C2">
            <w:pPr>
              <w:widowControl/>
              <w:jc w:val="center"/>
              <w:rPr>
                <w:rFonts w:ascii="宋体" w:hAnsi="宋体" w:eastAsia="宋体"/>
                <w:kern w:val="0"/>
                <w:sz w:val="18"/>
                <w:szCs w:val="18"/>
              </w:rPr>
            </w:pPr>
            <w:r>
              <w:rPr>
                <w:rFonts w:hint="eastAsia" w:ascii="宋体" w:hAnsi="宋体" w:eastAsia="宋体"/>
                <w:kern w:val="0"/>
                <w:sz w:val="18"/>
                <w:szCs w:val="18"/>
                <w:lang w:val="en-US" w:eastAsia="zh-CN"/>
              </w:rPr>
              <w:t>2</w:t>
            </w:r>
            <w:r>
              <w:rPr>
                <w:rFonts w:hint="eastAsia" w:ascii="宋体" w:hAnsi="宋体" w:eastAsia="宋体"/>
                <w:kern w:val="0"/>
                <w:sz w:val="18"/>
                <w:szCs w:val="18"/>
              </w:rPr>
              <w:t>12</w:t>
            </w:r>
          </w:p>
        </w:tc>
        <w:tc>
          <w:tcPr>
            <w:tcW w:w="685" w:type="dxa"/>
            <w:gridSpan w:val="2"/>
            <w:tcBorders>
              <w:top w:val="nil"/>
              <w:left w:val="nil"/>
              <w:bottom w:val="single" w:color="auto" w:sz="4" w:space="0"/>
              <w:right w:val="single" w:color="auto" w:sz="4" w:space="0"/>
              <w:tl2br w:val="nil"/>
              <w:tr2bl w:val="nil"/>
            </w:tcBorders>
            <w:shd w:val="clear" w:color="auto" w:fill="FFFFFF"/>
            <w:vAlign w:val="center"/>
          </w:tcPr>
          <w:p w14:paraId="4438ADB0">
            <w:pPr>
              <w:widowControl/>
              <w:jc w:val="center"/>
              <w:rPr>
                <w:rFonts w:ascii="宋体" w:hAnsi="宋体" w:eastAsia="宋体"/>
                <w:kern w:val="0"/>
                <w:sz w:val="18"/>
                <w:szCs w:val="18"/>
              </w:rPr>
            </w:pPr>
            <w:r>
              <w:rPr>
                <w:rFonts w:hint="eastAsia" w:ascii="宋体" w:hAnsi="宋体" w:eastAsia="宋体"/>
                <w:kern w:val="0"/>
                <w:sz w:val="18"/>
                <w:szCs w:val="18"/>
              </w:rPr>
              <w:t>5</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4FBC89C7">
            <w:pPr>
              <w:widowControl/>
              <w:jc w:val="center"/>
              <w:rPr>
                <w:rFonts w:hint="eastAsia" w:ascii="宋体" w:hAnsi="宋体" w:eastAsia="宋体"/>
                <w:kern w:val="0"/>
                <w:sz w:val="18"/>
                <w:szCs w:val="18"/>
                <w:lang w:eastAsia="zh-CN"/>
              </w:rPr>
            </w:pPr>
            <w:r>
              <w:rPr>
                <w:rFonts w:hint="eastAsia" w:ascii="宋体" w:hAnsi="宋体" w:eastAsia="宋体"/>
                <w:kern w:val="0"/>
                <w:sz w:val="18"/>
                <w:szCs w:val="18"/>
                <w:lang w:val="en-US" w:eastAsia="zh-CN"/>
              </w:rPr>
              <w:t>5</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5F5EEA30">
            <w:pPr>
              <w:widowControl/>
              <w:jc w:val="center"/>
              <w:rPr>
                <w:rFonts w:ascii="宋体" w:hAnsi="宋体" w:eastAsia="宋体"/>
                <w:kern w:val="0"/>
                <w:sz w:val="18"/>
                <w:szCs w:val="18"/>
              </w:rPr>
            </w:pPr>
            <w:r>
              <w:rPr>
                <w:rFonts w:hint="eastAsia" w:ascii="宋体" w:hAnsi="宋体" w:eastAsia="宋体"/>
                <w:kern w:val="0"/>
                <w:sz w:val="18"/>
                <w:szCs w:val="18"/>
                <w:lang w:val="en-US" w:eastAsia="zh-CN"/>
              </w:rPr>
              <w:t>5</w:t>
            </w:r>
            <w:r>
              <w:rPr>
                <w:rFonts w:hint="eastAsia" w:ascii="宋体" w:hAnsi="宋体" w:eastAsia="宋体"/>
                <w:kern w:val="0"/>
                <w:sz w:val="18"/>
                <w:szCs w:val="18"/>
              </w:rPr>
              <w:t>　</w:t>
            </w:r>
          </w:p>
        </w:tc>
        <w:tc>
          <w:tcPr>
            <w:tcW w:w="567" w:type="dxa"/>
            <w:tcBorders>
              <w:top w:val="nil"/>
              <w:left w:val="nil"/>
              <w:bottom w:val="single" w:color="auto" w:sz="4" w:space="0"/>
              <w:right w:val="single" w:color="auto" w:sz="4" w:space="0"/>
              <w:tl2br w:val="nil"/>
              <w:tr2bl w:val="nil"/>
            </w:tcBorders>
            <w:shd w:val="clear" w:color="auto" w:fill="FFFFFF"/>
            <w:vAlign w:val="center"/>
          </w:tcPr>
          <w:p w14:paraId="6AA0901B">
            <w:pPr>
              <w:widowControl/>
              <w:jc w:val="center"/>
              <w:rPr>
                <w:rFonts w:ascii="宋体" w:hAnsi="宋体" w:eastAsia="宋体"/>
                <w:kern w:val="0"/>
                <w:sz w:val="18"/>
                <w:szCs w:val="18"/>
              </w:rPr>
            </w:pPr>
            <w:r>
              <w:rPr>
                <w:rFonts w:hint="eastAsia" w:ascii="宋体" w:hAnsi="宋体" w:eastAsia="宋体"/>
                <w:kern w:val="0"/>
                <w:sz w:val="18"/>
                <w:szCs w:val="18"/>
                <w:lang w:val="en-US" w:eastAsia="zh-CN"/>
              </w:rPr>
              <w:t>5</w:t>
            </w:r>
            <w:r>
              <w:rPr>
                <w:rFonts w:hint="eastAsia" w:ascii="宋体" w:hAnsi="宋体" w:eastAsia="宋体"/>
                <w:kern w:val="0"/>
                <w:sz w:val="18"/>
                <w:szCs w:val="18"/>
              </w:rPr>
              <w:t>　</w:t>
            </w:r>
          </w:p>
        </w:tc>
        <w:tc>
          <w:tcPr>
            <w:tcW w:w="1164" w:type="dxa"/>
            <w:vMerge w:val="continue"/>
            <w:tcBorders>
              <w:top w:val="nil"/>
              <w:left w:val="nil"/>
              <w:bottom w:val="single" w:color="auto" w:sz="4" w:space="0"/>
              <w:right w:val="single" w:color="auto" w:sz="4" w:space="0"/>
              <w:tl2br w:val="nil"/>
              <w:tr2bl w:val="nil"/>
            </w:tcBorders>
            <w:vAlign w:val="center"/>
          </w:tcPr>
          <w:p w14:paraId="4D3830FC">
            <w:pPr>
              <w:widowControl/>
              <w:rPr>
                <w:rFonts w:ascii="宋体" w:hAnsi="宋体" w:eastAsia="宋体"/>
                <w:kern w:val="0"/>
                <w:sz w:val="18"/>
                <w:szCs w:val="18"/>
              </w:rPr>
            </w:pPr>
          </w:p>
        </w:tc>
      </w:tr>
      <w:tr w14:paraId="567E8230">
        <w:tblPrEx>
          <w:tblCellMar>
            <w:top w:w="0" w:type="dxa"/>
            <w:left w:w="108" w:type="dxa"/>
            <w:bottom w:w="0" w:type="dxa"/>
            <w:right w:w="108" w:type="dxa"/>
          </w:tblCellMar>
        </w:tblPrEx>
        <w:trPr>
          <w:trHeight w:val="284" w:hRule="atLeast"/>
        </w:trPr>
        <w:tc>
          <w:tcPr>
            <w:tcW w:w="680"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14:paraId="080A6D52">
            <w:pPr>
              <w:widowControl/>
              <w:rPr>
                <w:rFonts w:ascii="宋体" w:hAnsi="宋体" w:eastAsia="宋体"/>
                <w:b/>
                <w:kern w:val="0"/>
                <w:sz w:val="18"/>
                <w:szCs w:val="18"/>
              </w:rPr>
            </w:pPr>
          </w:p>
        </w:tc>
        <w:tc>
          <w:tcPr>
            <w:tcW w:w="611" w:type="dxa"/>
            <w:vMerge w:val="continue"/>
            <w:tcBorders>
              <w:top w:val="nil"/>
              <w:left w:val="nil"/>
              <w:bottom w:val="single" w:color="auto" w:sz="4" w:space="0"/>
              <w:right w:val="single" w:color="auto" w:sz="4" w:space="0"/>
              <w:tl2br w:val="nil"/>
              <w:tr2bl w:val="nil"/>
            </w:tcBorders>
            <w:shd w:val="clear" w:color="auto" w:fill="auto"/>
            <w:vAlign w:val="center"/>
          </w:tcPr>
          <w:p w14:paraId="3CB3FF4D">
            <w:pPr>
              <w:widowControl/>
              <w:rPr>
                <w:rFonts w:ascii="宋体" w:hAnsi="宋体" w:eastAsia="宋体"/>
                <w:b/>
                <w:kern w:val="0"/>
                <w:sz w:val="18"/>
                <w:szCs w:val="18"/>
              </w:rPr>
            </w:pPr>
          </w:p>
        </w:tc>
        <w:tc>
          <w:tcPr>
            <w:tcW w:w="1185" w:type="dxa"/>
            <w:tcBorders>
              <w:top w:val="nil"/>
              <w:left w:val="nil"/>
              <w:bottom w:val="single" w:color="auto" w:sz="4" w:space="0"/>
              <w:right w:val="single" w:color="auto" w:sz="4" w:space="0"/>
              <w:tl2br w:val="nil"/>
              <w:tr2bl w:val="nil"/>
            </w:tcBorders>
            <w:shd w:val="clear" w:color="auto" w:fill="FFFFFF"/>
            <w:vAlign w:val="center"/>
          </w:tcPr>
          <w:p w14:paraId="016AA8A0">
            <w:pPr>
              <w:widowControl/>
              <w:jc w:val="center"/>
              <w:rPr>
                <w:rFonts w:ascii="宋体" w:hAnsi="宋体" w:eastAsia="宋体"/>
                <w:kern w:val="0"/>
                <w:sz w:val="18"/>
                <w:szCs w:val="18"/>
              </w:rPr>
            </w:pPr>
            <w:r>
              <w:rPr>
                <w:rFonts w:hint="eastAsia" w:ascii="宋体" w:hAnsi="宋体" w:eastAsia="宋体"/>
                <w:kern w:val="0"/>
                <w:sz w:val="18"/>
                <w:szCs w:val="18"/>
              </w:rPr>
              <w:t>8</w:t>
            </w:r>
          </w:p>
        </w:tc>
        <w:tc>
          <w:tcPr>
            <w:tcW w:w="2230" w:type="dxa"/>
            <w:tcBorders>
              <w:top w:val="nil"/>
              <w:left w:val="nil"/>
              <w:bottom w:val="single" w:color="auto" w:sz="4" w:space="0"/>
              <w:right w:val="single" w:color="auto" w:sz="4" w:space="0"/>
              <w:tl2br w:val="nil"/>
              <w:tr2bl w:val="nil"/>
            </w:tcBorders>
            <w:shd w:val="clear" w:color="auto" w:fill="FFFFFF"/>
            <w:vAlign w:val="center"/>
          </w:tcPr>
          <w:p w14:paraId="1387E17C">
            <w:pPr>
              <w:widowControl/>
              <w:jc w:val="center"/>
              <w:rPr>
                <w:rFonts w:ascii="宋体" w:hAnsi="宋体" w:eastAsia="宋体"/>
                <w:kern w:val="0"/>
                <w:sz w:val="18"/>
                <w:szCs w:val="18"/>
              </w:rPr>
            </w:pPr>
            <w:r>
              <w:rPr>
                <w:rFonts w:hint="eastAsia" w:ascii="宋体" w:hAnsi="宋体" w:eastAsia="宋体"/>
                <w:kern w:val="0"/>
                <w:sz w:val="18"/>
                <w:szCs w:val="18"/>
              </w:rPr>
              <w:t>数学</w:t>
            </w:r>
          </w:p>
        </w:tc>
        <w:tc>
          <w:tcPr>
            <w:tcW w:w="720" w:type="dxa"/>
            <w:tcBorders>
              <w:top w:val="nil"/>
              <w:left w:val="nil"/>
              <w:bottom w:val="single" w:color="auto" w:sz="4" w:space="0"/>
              <w:right w:val="single" w:color="auto" w:sz="4" w:space="0"/>
              <w:tl2br w:val="nil"/>
              <w:tr2bl w:val="nil"/>
            </w:tcBorders>
            <w:shd w:val="clear" w:color="auto" w:fill="FFFFFF"/>
            <w:vAlign w:val="center"/>
          </w:tcPr>
          <w:p w14:paraId="3323A2B4">
            <w:pPr>
              <w:widowControl/>
              <w:jc w:val="center"/>
              <w:rPr>
                <w:rFonts w:ascii="宋体" w:hAnsi="宋体" w:eastAsia="宋体"/>
                <w:kern w:val="0"/>
                <w:sz w:val="18"/>
                <w:szCs w:val="18"/>
              </w:rPr>
            </w:pPr>
            <w:r>
              <w:rPr>
                <w:rFonts w:hint="eastAsia" w:ascii="宋体" w:hAnsi="宋体" w:eastAsia="宋体"/>
                <w:kern w:val="0"/>
                <w:sz w:val="18"/>
                <w:szCs w:val="18"/>
                <w:lang w:val="en-US" w:eastAsia="zh-CN"/>
              </w:rPr>
              <w:t>2</w:t>
            </w:r>
            <w:r>
              <w:rPr>
                <w:rFonts w:hint="eastAsia" w:ascii="宋体" w:hAnsi="宋体" w:eastAsia="宋体"/>
                <w:kern w:val="0"/>
                <w:sz w:val="18"/>
                <w:szCs w:val="18"/>
              </w:rPr>
              <w:t>12</w:t>
            </w:r>
          </w:p>
        </w:tc>
        <w:tc>
          <w:tcPr>
            <w:tcW w:w="685" w:type="dxa"/>
            <w:gridSpan w:val="2"/>
            <w:tcBorders>
              <w:top w:val="nil"/>
              <w:left w:val="nil"/>
              <w:bottom w:val="single" w:color="auto" w:sz="4" w:space="0"/>
              <w:right w:val="single" w:color="auto" w:sz="4" w:space="0"/>
              <w:tl2br w:val="nil"/>
              <w:tr2bl w:val="nil"/>
            </w:tcBorders>
            <w:shd w:val="clear" w:color="auto" w:fill="FFFFFF"/>
            <w:vAlign w:val="center"/>
          </w:tcPr>
          <w:p w14:paraId="5B923189">
            <w:pPr>
              <w:widowControl/>
              <w:jc w:val="center"/>
              <w:rPr>
                <w:rFonts w:ascii="宋体" w:hAnsi="宋体" w:eastAsia="宋体"/>
                <w:kern w:val="0"/>
                <w:sz w:val="18"/>
                <w:szCs w:val="18"/>
              </w:rPr>
            </w:pPr>
            <w:r>
              <w:rPr>
                <w:rFonts w:hint="eastAsia" w:ascii="宋体" w:hAnsi="宋体" w:eastAsia="宋体"/>
                <w:kern w:val="0"/>
                <w:sz w:val="18"/>
                <w:szCs w:val="18"/>
              </w:rPr>
              <w:t>4</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5460BD49">
            <w:pPr>
              <w:widowControl/>
              <w:jc w:val="center"/>
              <w:rPr>
                <w:rFonts w:hint="eastAsia" w:ascii="宋体" w:hAnsi="宋体" w:eastAsia="宋体"/>
                <w:kern w:val="0"/>
                <w:sz w:val="18"/>
                <w:szCs w:val="18"/>
                <w:lang w:eastAsia="zh-CN"/>
              </w:rPr>
            </w:pPr>
            <w:r>
              <w:rPr>
                <w:rFonts w:hint="eastAsia" w:ascii="宋体" w:hAnsi="宋体" w:eastAsia="宋体"/>
                <w:kern w:val="0"/>
                <w:sz w:val="18"/>
                <w:szCs w:val="18"/>
                <w:lang w:val="en-US" w:eastAsia="zh-CN"/>
              </w:rPr>
              <w:t>4</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7C9C6CA8">
            <w:pPr>
              <w:widowControl/>
              <w:jc w:val="center"/>
              <w:rPr>
                <w:rFonts w:ascii="宋体" w:hAnsi="宋体" w:eastAsia="宋体"/>
                <w:kern w:val="0"/>
                <w:sz w:val="18"/>
                <w:szCs w:val="18"/>
              </w:rPr>
            </w:pPr>
            <w:r>
              <w:rPr>
                <w:rFonts w:hint="eastAsia" w:ascii="宋体" w:hAnsi="宋体" w:eastAsia="宋体"/>
                <w:kern w:val="0"/>
                <w:sz w:val="18"/>
                <w:szCs w:val="18"/>
                <w:lang w:val="en-US" w:eastAsia="zh-CN"/>
              </w:rPr>
              <w:t>5</w:t>
            </w:r>
            <w:r>
              <w:rPr>
                <w:rFonts w:hint="eastAsia" w:ascii="宋体" w:hAnsi="宋体" w:eastAsia="宋体"/>
                <w:kern w:val="0"/>
                <w:sz w:val="18"/>
                <w:szCs w:val="18"/>
              </w:rPr>
              <w:t>　</w:t>
            </w:r>
          </w:p>
        </w:tc>
        <w:tc>
          <w:tcPr>
            <w:tcW w:w="567" w:type="dxa"/>
            <w:tcBorders>
              <w:top w:val="nil"/>
              <w:left w:val="nil"/>
              <w:bottom w:val="single" w:color="auto" w:sz="4" w:space="0"/>
              <w:right w:val="single" w:color="auto" w:sz="4" w:space="0"/>
              <w:tl2br w:val="nil"/>
              <w:tr2bl w:val="nil"/>
            </w:tcBorders>
            <w:shd w:val="clear" w:color="auto" w:fill="FFFFFF"/>
            <w:vAlign w:val="center"/>
          </w:tcPr>
          <w:p w14:paraId="0D1D106D">
            <w:pPr>
              <w:widowControl/>
              <w:jc w:val="center"/>
              <w:rPr>
                <w:rFonts w:ascii="宋体" w:hAnsi="宋体" w:eastAsia="宋体"/>
                <w:kern w:val="0"/>
                <w:sz w:val="18"/>
                <w:szCs w:val="18"/>
              </w:rPr>
            </w:pPr>
            <w:r>
              <w:rPr>
                <w:rFonts w:hint="eastAsia" w:ascii="宋体" w:hAnsi="宋体" w:eastAsia="宋体"/>
                <w:kern w:val="0"/>
                <w:sz w:val="18"/>
                <w:szCs w:val="18"/>
                <w:lang w:val="en-US" w:eastAsia="zh-CN"/>
              </w:rPr>
              <w:t>5</w:t>
            </w:r>
            <w:r>
              <w:rPr>
                <w:rFonts w:hint="eastAsia" w:ascii="宋体" w:hAnsi="宋体" w:eastAsia="宋体"/>
                <w:kern w:val="0"/>
                <w:sz w:val="18"/>
                <w:szCs w:val="18"/>
              </w:rPr>
              <w:t>　</w:t>
            </w:r>
          </w:p>
        </w:tc>
        <w:tc>
          <w:tcPr>
            <w:tcW w:w="1164" w:type="dxa"/>
            <w:vMerge w:val="continue"/>
            <w:tcBorders>
              <w:top w:val="nil"/>
              <w:left w:val="nil"/>
              <w:bottom w:val="single" w:color="auto" w:sz="4" w:space="0"/>
              <w:right w:val="single" w:color="auto" w:sz="4" w:space="0"/>
              <w:tl2br w:val="nil"/>
              <w:tr2bl w:val="nil"/>
            </w:tcBorders>
            <w:vAlign w:val="center"/>
          </w:tcPr>
          <w:p w14:paraId="1D788BE7">
            <w:pPr>
              <w:widowControl/>
              <w:rPr>
                <w:rFonts w:ascii="宋体" w:hAnsi="宋体" w:eastAsia="宋体"/>
                <w:kern w:val="0"/>
                <w:sz w:val="18"/>
                <w:szCs w:val="18"/>
              </w:rPr>
            </w:pPr>
          </w:p>
        </w:tc>
      </w:tr>
      <w:tr w14:paraId="512266D1">
        <w:tblPrEx>
          <w:tblCellMar>
            <w:top w:w="0" w:type="dxa"/>
            <w:left w:w="108" w:type="dxa"/>
            <w:bottom w:w="0" w:type="dxa"/>
            <w:right w:w="108" w:type="dxa"/>
          </w:tblCellMar>
        </w:tblPrEx>
        <w:trPr>
          <w:trHeight w:val="284" w:hRule="atLeast"/>
        </w:trPr>
        <w:tc>
          <w:tcPr>
            <w:tcW w:w="680"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14:paraId="7497E5EE">
            <w:pPr>
              <w:widowControl/>
              <w:rPr>
                <w:rFonts w:ascii="宋体" w:hAnsi="宋体" w:eastAsia="宋体"/>
                <w:b/>
                <w:kern w:val="0"/>
                <w:sz w:val="18"/>
                <w:szCs w:val="18"/>
              </w:rPr>
            </w:pPr>
          </w:p>
        </w:tc>
        <w:tc>
          <w:tcPr>
            <w:tcW w:w="611" w:type="dxa"/>
            <w:vMerge w:val="continue"/>
            <w:tcBorders>
              <w:top w:val="nil"/>
              <w:left w:val="nil"/>
              <w:bottom w:val="single" w:color="auto" w:sz="4" w:space="0"/>
              <w:right w:val="single" w:color="auto" w:sz="4" w:space="0"/>
              <w:tl2br w:val="nil"/>
              <w:tr2bl w:val="nil"/>
            </w:tcBorders>
            <w:shd w:val="clear" w:color="auto" w:fill="auto"/>
            <w:vAlign w:val="center"/>
          </w:tcPr>
          <w:p w14:paraId="365ACE50">
            <w:pPr>
              <w:widowControl/>
              <w:rPr>
                <w:rFonts w:ascii="宋体" w:hAnsi="宋体" w:eastAsia="宋体"/>
                <w:b/>
                <w:kern w:val="0"/>
                <w:sz w:val="18"/>
                <w:szCs w:val="18"/>
              </w:rPr>
            </w:pPr>
          </w:p>
        </w:tc>
        <w:tc>
          <w:tcPr>
            <w:tcW w:w="1185" w:type="dxa"/>
            <w:tcBorders>
              <w:top w:val="nil"/>
              <w:left w:val="nil"/>
              <w:bottom w:val="single" w:color="auto" w:sz="4" w:space="0"/>
              <w:right w:val="single" w:color="auto" w:sz="4" w:space="0"/>
              <w:tl2br w:val="nil"/>
              <w:tr2bl w:val="nil"/>
            </w:tcBorders>
            <w:shd w:val="clear" w:color="auto" w:fill="FFFFFF"/>
            <w:vAlign w:val="center"/>
          </w:tcPr>
          <w:p w14:paraId="4E2C42DE">
            <w:pPr>
              <w:widowControl/>
              <w:jc w:val="center"/>
              <w:rPr>
                <w:rFonts w:ascii="宋体" w:hAnsi="宋体" w:eastAsia="宋体"/>
                <w:kern w:val="0"/>
                <w:sz w:val="18"/>
                <w:szCs w:val="18"/>
              </w:rPr>
            </w:pPr>
            <w:r>
              <w:rPr>
                <w:rFonts w:hint="eastAsia" w:ascii="宋体" w:hAnsi="宋体" w:eastAsia="宋体"/>
                <w:kern w:val="0"/>
                <w:sz w:val="18"/>
                <w:szCs w:val="18"/>
              </w:rPr>
              <w:t>9</w:t>
            </w:r>
          </w:p>
        </w:tc>
        <w:tc>
          <w:tcPr>
            <w:tcW w:w="2230" w:type="dxa"/>
            <w:tcBorders>
              <w:top w:val="nil"/>
              <w:left w:val="nil"/>
              <w:bottom w:val="single" w:color="auto" w:sz="4" w:space="0"/>
              <w:right w:val="single" w:color="auto" w:sz="4" w:space="0"/>
              <w:tl2br w:val="nil"/>
              <w:tr2bl w:val="nil"/>
            </w:tcBorders>
            <w:shd w:val="clear" w:color="auto" w:fill="FFFFFF"/>
            <w:vAlign w:val="center"/>
          </w:tcPr>
          <w:p w14:paraId="28CEEBBF">
            <w:pPr>
              <w:widowControl/>
              <w:jc w:val="center"/>
              <w:rPr>
                <w:rFonts w:ascii="宋体" w:hAnsi="宋体" w:eastAsia="宋体"/>
                <w:kern w:val="0"/>
                <w:sz w:val="18"/>
                <w:szCs w:val="18"/>
              </w:rPr>
            </w:pPr>
            <w:r>
              <w:rPr>
                <w:rFonts w:hint="eastAsia" w:ascii="宋体" w:hAnsi="宋体" w:eastAsia="宋体"/>
                <w:kern w:val="0"/>
                <w:sz w:val="18"/>
                <w:szCs w:val="18"/>
              </w:rPr>
              <w:t>英语</w:t>
            </w:r>
          </w:p>
        </w:tc>
        <w:tc>
          <w:tcPr>
            <w:tcW w:w="720" w:type="dxa"/>
            <w:tcBorders>
              <w:top w:val="nil"/>
              <w:left w:val="nil"/>
              <w:bottom w:val="single" w:color="auto" w:sz="4" w:space="0"/>
              <w:right w:val="single" w:color="auto" w:sz="4" w:space="0"/>
              <w:tl2br w:val="nil"/>
              <w:tr2bl w:val="nil"/>
            </w:tcBorders>
            <w:shd w:val="clear" w:color="auto" w:fill="FFFFFF"/>
            <w:vAlign w:val="center"/>
          </w:tcPr>
          <w:p w14:paraId="4F708C82">
            <w:pPr>
              <w:widowControl/>
              <w:jc w:val="center"/>
              <w:rPr>
                <w:rFonts w:hint="default" w:ascii="宋体" w:hAnsi="宋体" w:eastAsia="宋体"/>
                <w:kern w:val="0"/>
                <w:sz w:val="18"/>
                <w:szCs w:val="18"/>
                <w:lang w:val="en-US"/>
              </w:rPr>
            </w:pPr>
            <w:r>
              <w:rPr>
                <w:rFonts w:hint="eastAsia" w:ascii="宋体" w:hAnsi="宋体" w:eastAsia="宋体"/>
                <w:kern w:val="0"/>
                <w:sz w:val="18"/>
                <w:szCs w:val="18"/>
                <w:lang w:val="en-US" w:eastAsia="zh-CN"/>
              </w:rPr>
              <w:t>256</w:t>
            </w:r>
          </w:p>
        </w:tc>
        <w:tc>
          <w:tcPr>
            <w:tcW w:w="685" w:type="dxa"/>
            <w:gridSpan w:val="2"/>
            <w:tcBorders>
              <w:top w:val="nil"/>
              <w:left w:val="nil"/>
              <w:bottom w:val="single" w:color="auto" w:sz="4" w:space="0"/>
              <w:right w:val="single" w:color="auto" w:sz="4" w:space="0"/>
              <w:tl2br w:val="nil"/>
              <w:tr2bl w:val="nil"/>
            </w:tcBorders>
            <w:shd w:val="clear" w:color="auto" w:fill="FFFFFF"/>
            <w:vAlign w:val="center"/>
          </w:tcPr>
          <w:p w14:paraId="214CF9D8">
            <w:pPr>
              <w:widowControl/>
              <w:jc w:val="center"/>
              <w:rPr>
                <w:rFonts w:ascii="宋体" w:hAnsi="宋体" w:eastAsia="宋体"/>
                <w:kern w:val="0"/>
                <w:sz w:val="18"/>
                <w:szCs w:val="18"/>
              </w:rPr>
            </w:pPr>
            <w:r>
              <w:rPr>
                <w:rFonts w:hint="eastAsia" w:ascii="宋体" w:hAnsi="宋体" w:eastAsia="宋体"/>
                <w:kern w:val="0"/>
                <w:sz w:val="18"/>
                <w:szCs w:val="18"/>
              </w:rPr>
              <w:t>4</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26544D6E">
            <w:pPr>
              <w:widowControl/>
              <w:jc w:val="center"/>
              <w:rPr>
                <w:rFonts w:hint="eastAsia" w:ascii="宋体" w:hAnsi="宋体" w:eastAsia="宋体"/>
                <w:kern w:val="0"/>
                <w:sz w:val="18"/>
                <w:szCs w:val="18"/>
                <w:lang w:eastAsia="zh-CN"/>
              </w:rPr>
            </w:pPr>
            <w:r>
              <w:rPr>
                <w:rFonts w:hint="eastAsia" w:ascii="宋体" w:hAnsi="宋体" w:eastAsia="宋体"/>
                <w:kern w:val="0"/>
                <w:sz w:val="18"/>
                <w:szCs w:val="18"/>
                <w:lang w:val="en-US" w:eastAsia="zh-CN"/>
              </w:rPr>
              <w:t>4</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42DF5454">
            <w:pPr>
              <w:widowControl/>
              <w:jc w:val="center"/>
              <w:rPr>
                <w:rFonts w:ascii="宋体" w:hAnsi="宋体" w:eastAsia="宋体"/>
                <w:kern w:val="0"/>
                <w:sz w:val="18"/>
                <w:szCs w:val="18"/>
              </w:rPr>
            </w:pPr>
            <w:r>
              <w:rPr>
                <w:rFonts w:hint="eastAsia" w:ascii="宋体" w:hAnsi="宋体" w:eastAsia="宋体"/>
                <w:kern w:val="0"/>
                <w:sz w:val="18"/>
                <w:szCs w:val="18"/>
                <w:lang w:val="en-US" w:eastAsia="zh-CN"/>
              </w:rPr>
              <w:t>4</w:t>
            </w:r>
            <w:r>
              <w:rPr>
                <w:rFonts w:hint="eastAsia" w:ascii="宋体" w:hAnsi="宋体" w:eastAsia="宋体"/>
                <w:kern w:val="0"/>
                <w:sz w:val="18"/>
                <w:szCs w:val="18"/>
              </w:rPr>
              <w:t>　</w:t>
            </w:r>
          </w:p>
        </w:tc>
        <w:tc>
          <w:tcPr>
            <w:tcW w:w="567" w:type="dxa"/>
            <w:tcBorders>
              <w:top w:val="nil"/>
              <w:left w:val="nil"/>
              <w:bottom w:val="single" w:color="auto" w:sz="4" w:space="0"/>
              <w:right w:val="single" w:color="auto" w:sz="4" w:space="0"/>
              <w:tl2br w:val="nil"/>
              <w:tr2bl w:val="nil"/>
            </w:tcBorders>
            <w:shd w:val="clear" w:color="auto" w:fill="FFFFFF"/>
            <w:vAlign w:val="center"/>
          </w:tcPr>
          <w:p w14:paraId="46F35783">
            <w:pPr>
              <w:widowControl/>
              <w:jc w:val="center"/>
              <w:rPr>
                <w:rFonts w:ascii="宋体" w:hAnsi="宋体" w:eastAsia="宋体"/>
                <w:kern w:val="0"/>
                <w:sz w:val="18"/>
                <w:szCs w:val="18"/>
              </w:rPr>
            </w:pPr>
            <w:r>
              <w:rPr>
                <w:rFonts w:hint="eastAsia" w:ascii="宋体" w:hAnsi="宋体" w:eastAsia="宋体"/>
                <w:kern w:val="0"/>
                <w:sz w:val="18"/>
                <w:szCs w:val="18"/>
                <w:lang w:val="en-US" w:eastAsia="zh-CN"/>
              </w:rPr>
              <w:t>4</w:t>
            </w:r>
            <w:r>
              <w:rPr>
                <w:rFonts w:hint="eastAsia" w:ascii="宋体" w:hAnsi="宋体" w:eastAsia="宋体"/>
                <w:kern w:val="0"/>
                <w:sz w:val="18"/>
                <w:szCs w:val="18"/>
              </w:rPr>
              <w:t>　</w:t>
            </w:r>
          </w:p>
        </w:tc>
        <w:tc>
          <w:tcPr>
            <w:tcW w:w="1164" w:type="dxa"/>
            <w:vMerge w:val="continue"/>
            <w:tcBorders>
              <w:top w:val="nil"/>
              <w:left w:val="nil"/>
              <w:bottom w:val="single" w:color="auto" w:sz="4" w:space="0"/>
              <w:right w:val="single" w:color="auto" w:sz="4" w:space="0"/>
              <w:tl2br w:val="nil"/>
              <w:tr2bl w:val="nil"/>
            </w:tcBorders>
            <w:vAlign w:val="center"/>
          </w:tcPr>
          <w:p w14:paraId="7DF457AD">
            <w:pPr>
              <w:widowControl/>
              <w:rPr>
                <w:rFonts w:ascii="宋体" w:hAnsi="宋体" w:eastAsia="宋体"/>
                <w:kern w:val="0"/>
                <w:sz w:val="18"/>
                <w:szCs w:val="18"/>
              </w:rPr>
            </w:pPr>
          </w:p>
        </w:tc>
      </w:tr>
      <w:tr w14:paraId="0B464A01">
        <w:tblPrEx>
          <w:tblCellMar>
            <w:top w:w="0" w:type="dxa"/>
            <w:left w:w="108" w:type="dxa"/>
            <w:bottom w:w="0" w:type="dxa"/>
            <w:right w:w="108" w:type="dxa"/>
          </w:tblCellMar>
        </w:tblPrEx>
        <w:trPr>
          <w:trHeight w:val="284" w:hRule="atLeast"/>
        </w:trPr>
        <w:tc>
          <w:tcPr>
            <w:tcW w:w="680"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14:paraId="65FA916B">
            <w:pPr>
              <w:widowControl/>
              <w:rPr>
                <w:rFonts w:ascii="宋体" w:hAnsi="宋体" w:eastAsia="宋体"/>
                <w:b/>
                <w:kern w:val="0"/>
                <w:sz w:val="18"/>
                <w:szCs w:val="18"/>
              </w:rPr>
            </w:pPr>
          </w:p>
        </w:tc>
        <w:tc>
          <w:tcPr>
            <w:tcW w:w="611" w:type="dxa"/>
            <w:vMerge w:val="continue"/>
            <w:tcBorders>
              <w:top w:val="nil"/>
              <w:left w:val="nil"/>
              <w:bottom w:val="single" w:color="auto" w:sz="4" w:space="0"/>
              <w:right w:val="single" w:color="auto" w:sz="4" w:space="0"/>
              <w:tl2br w:val="nil"/>
              <w:tr2bl w:val="nil"/>
            </w:tcBorders>
            <w:shd w:val="clear" w:color="auto" w:fill="auto"/>
            <w:vAlign w:val="center"/>
          </w:tcPr>
          <w:p w14:paraId="3C4CA40D">
            <w:pPr>
              <w:widowControl/>
              <w:rPr>
                <w:rFonts w:ascii="宋体" w:hAnsi="宋体" w:eastAsia="宋体"/>
                <w:b/>
                <w:kern w:val="0"/>
                <w:sz w:val="18"/>
                <w:szCs w:val="18"/>
              </w:rPr>
            </w:pPr>
          </w:p>
        </w:tc>
        <w:tc>
          <w:tcPr>
            <w:tcW w:w="1185" w:type="dxa"/>
            <w:tcBorders>
              <w:top w:val="nil"/>
              <w:left w:val="nil"/>
              <w:bottom w:val="single" w:color="auto" w:sz="4" w:space="0"/>
              <w:right w:val="single" w:color="auto" w:sz="4" w:space="0"/>
              <w:tl2br w:val="nil"/>
              <w:tr2bl w:val="nil"/>
            </w:tcBorders>
            <w:shd w:val="clear" w:color="auto" w:fill="FFFFFF"/>
            <w:vAlign w:val="center"/>
          </w:tcPr>
          <w:p w14:paraId="2360D94D">
            <w:pPr>
              <w:widowControl/>
              <w:jc w:val="center"/>
              <w:rPr>
                <w:rFonts w:ascii="宋体" w:hAnsi="宋体" w:eastAsia="宋体"/>
                <w:kern w:val="0"/>
                <w:sz w:val="18"/>
                <w:szCs w:val="18"/>
              </w:rPr>
            </w:pPr>
            <w:r>
              <w:rPr>
                <w:rFonts w:hint="eastAsia" w:ascii="宋体" w:hAnsi="宋体" w:eastAsia="宋体"/>
                <w:kern w:val="0"/>
                <w:sz w:val="18"/>
                <w:szCs w:val="18"/>
              </w:rPr>
              <w:t>10</w:t>
            </w:r>
          </w:p>
        </w:tc>
        <w:tc>
          <w:tcPr>
            <w:tcW w:w="2230" w:type="dxa"/>
            <w:tcBorders>
              <w:top w:val="nil"/>
              <w:left w:val="nil"/>
              <w:bottom w:val="single" w:color="auto" w:sz="4" w:space="0"/>
              <w:right w:val="single" w:color="auto" w:sz="4" w:space="0"/>
              <w:tl2br w:val="nil"/>
              <w:tr2bl w:val="nil"/>
            </w:tcBorders>
            <w:shd w:val="clear" w:color="auto" w:fill="FFFFFF"/>
            <w:vAlign w:val="center"/>
          </w:tcPr>
          <w:p w14:paraId="55EE679D">
            <w:pPr>
              <w:widowControl/>
              <w:jc w:val="center"/>
              <w:rPr>
                <w:rFonts w:ascii="宋体" w:hAnsi="宋体" w:eastAsia="宋体"/>
                <w:kern w:val="0"/>
                <w:sz w:val="18"/>
                <w:szCs w:val="18"/>
              </w:rPr>
            </w:pPr>
            <w:r>
              <w:rPr>
                <w:rFonts w:hint="eastAsia" w:ascii="宋体" w:hAnsi="宋体" w:eastAsia="宋体"/>
                <w:kern w:val="0"/>
                <w:sz w:val="18"/>
                <w:szCs w:val="18"/>
              </w:rPr>
              <w:t>计算机应用基础</w:t>
            </w:r>
          </w:p>
        </w:tc>
        <w:tc>
          <w:tcPr>
            <w:tcW w:w="720" w:type="dxa"/>
            <w:tcBorders>
              <w:top w:val="nil"/>
              <w:left w:val="nil"/>
              <w:bottom w:val="single" w:color="auto" w:sz="4" w:space="0"/>
              <w:right w:val="single" w:color="auto" w:sz="4" w:space="0"/>
              <w:tl2br w:val="nil"/>
              <w:tr2bl w:val="nil"/>
            </w:tcBorders>
            <w:shd w:val="clear" w:color="auto" w:fill="FFFFFF"/>
            <w:vAlign w:val="center"/>
          </w:tcPr>
          <w:p w14:paraId="439968BB">
            <w:pPr>
              <w:widowControl/>
              <w:jc w:val="center"/>
              <w:rPr>
                <w:rFonts w:ascii="宋体" w:hAnsi="宋体" w:eastAsia="宋体"/>
                <w:kern w:val="0"/>
                <w:sz w:val="18"/>
                <w:szCs w:val="18"/>
              </w:rPr>
            </w:pPr>
            <w:r>
              <w:rPr>
                <w:rFonts w:hint="eastAsia" w:ascii="宋体" w:hAnsi="宋体" w:eastAsia="宋体"/>
                <w:kern w:val="0"/>
                <w:sz w:val="18"/>
                <w:szCs w:val="18"/>
              </w:rPr>
              <w:t>64</w:t>
            </w:r>
          </w:p>
        </w:tc>
        <w:tc>
          <w:tcPr>
            <w:tcW w:w="685" w:type="dxa"/>
            <w:gridSpan w:val="2"/>
            <w:tcBorders>
              <w:top w:val="nil"/>
              <w:left w:val="nil"/>
              <w:bottom w:val="single" w:color="auto" w:sz="4" w:space="0"/>
              <w:right w:val="single" w:color="auto" w:sz="4" w:space="0"/>
              <w:tl2br w:val="nil"/>
              <w:tr2bl w:val="nil"/>
            </w:tcBorders>
            <w:shd w:val="clear" w:color="auto" w:fill="FFFFFF"/>
            <w:vAlign w:val="center"/>
          </w:tcPr>
          <w:p w14:paraId="4CA3A224">
            <w:pPr>
              <w:widowControl/>
              <w:jc w:val="center"/>
              <w:rPr>
                <w:rFonts w:ascii="宋体" w:hAnsi="宋体" w:eastAsia="宋体"/>
                <w:kern w:val="0"/>
                <w:sz w:val="18"/>
                <w:szCs w:val="18"/>
              </w:rPr>
            </w:pPr>
            <w:r>
              <w:rPr>
                <w:rFonts w:hint="eastAsia" w:ascii="宋体" w:hAnsi="宋体" w:eastAsia="宋体"/>
                <w:kern w:val="0"/>
                <w:sz w:val="18"/>
                <w:szCs w:val="18"/>
              </w:rPr>
              <w:t>2</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27C213B0">
            <w:pPr>
              <w:widowControl/>
              <w:jc w:val="center"/>
              <w:rPr>
                <w:rFonts w:ascii="宋体" w:hAnsi="宋体" w:eastAsia="宋体"/>
                <w:kern w:val="0"/>
                <w:sz w:val="18"/>
                <w:szCs w:val="18"/>
              </w:rPr>
            </w:pPr>
            <w:r>
              <w:rPr>
                <w:rFonts w:hint="eastAsia" w:ascii="宋体" w:hAnsi="宋体" w:eastAsia="宋体"/>
                <w:kern w:val="0"/>
                <w:sz w:val="18"/>
                <w:szCs w:val="18"/>
              </w:rPr>
              <w:t>2</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5824D709">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567" w:type="dxa"/>
            <w:tcBorders>
              <w:top w:val="nil"/>
              <w:left w:val="nil"/>
              <w:bottom w:val="nil"/>
              <w:right w:val="single" w:color="auto" w:sz="4" w:space="0"/>
              <w:tl2br w:val="nil"/>
              <w:tr2bl w:val="nil"/>
            </w:tcBorders>
            <w:shd w:val="clear" w:color="auto" w:fill="FFFFFF"/>
            <w:vAlign w:val="center"/>
          </w:tcPr>
          <w:p w14:paraId="133AA06A">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1164" w:type="dxa"/>
            <w:vMerge w:val="continue"/>
            <w:tcBorders>
              <w:top w:val="nil"/>
              <w:left w:val="nil"/>
              <w:bottom w:val="single" w:color="auto" w:sz="4" w:space="0"/>
              <w:right w:val="single" w:color="auto" w:sz="4" w:space="0"/>
              <w:tl2br w:val="nil"/>
              <w:tr2bl w:val="nil"/>
            </w:tcBorders>
            <w:vAlign w:val="center"/>
          </w:tcPr>
          <w:p w14:paraId="26FCDD8B">
            <w:pPr>
              <w:widowControl/>
              <w:rPr>
                <w:rFonts w:ascii="宋体" w:hAnsi="宋体" w:eastAsia="宋体"/>
                <w:kern w:val="0"/>
                <w:sz w:val="18"/>
                <w:szCs w:val="18"/>
              </w:rPr>
            </w:pPr>
          </w:p>
        </w:tc>
      </w:tr>
      <w:tr w14:paraId="787F1250">
        <w:tblPrEx>
          <w:tblCellMar>
            <w:top w:w="0" w:type="dxa"/>
            <w:left w:w="108" w:type="dxa"/>
            <w:bottom w:w="0" w:type="dxa"/>
            <w:right w:w="108" w:type="dxa"/>
          </w:tblCellMar>
        </w:tblPrEx>
        <w:trPr>
          <w:trHeight w:val="284" w:hRule="atLeast"/>
        </w:trPr>
        <w:tc>
          <w:tcPr>
            <w:tcW w:w="680"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14:paraId="723E6EC4">
            <w:pPr>
              <w:widowControl/>
              <w:rPr>
                <w:rFonts w:ascii="宋体" w:hAnsi="宋体" w:eastAsia="宋体"/>
                <w:b/>
                <w:kern w:val="0"/>
                <w:sz w:val="18"/>
                <w:szCs w:val="18"/>
              </w:rPr>
            </w:pPr>
          </w:p>
        </w:tc>
        <w:tc>
          <w:tcPr>
            <w:tcW w:w="611" w:type="dxa"/>
            <w:vMerge w:val="continue"/>
            <w:tcBorders>
              <w:top w:val="nil"/>
              <w:left w:val="nil"/>
              <w:bottom w:val="single" w:color="auto" w:sz="4" w:space="0"/>
              <w:right w:val="single" w:color="auto" w:sz="4" w:space="0"/>
              <w:tl2br w:val="nil"/>
              <w:tr2bl w:val="nil"/>
            </w:tcBorders>
            <w:shd w:val="clear" w:color="auto" w:fill="auto"/>
            <w:vAlign w:val="center"/>
          </w:tcPr>
          <w:p w14:paraId="51EEC802">
            <w:pPr>
              <w:widowControl/>
              <w:rPr>
                <w:rFonts w:ascii="宋体" w:hAnsi="宋体" w:eastAsia="宋体"/>
                <w:b/>
                <w:kern w:val="0"/>
                <w:sz w:val="18"/>
                <w:szCs w:val="18"/>
              </w:rPr>
            </w:pPr>
          </w:p>
        </w:tc>
        <w:tc>
          <w:tcPr>
            <w:tcW w:w="3415" w:type="dxa"/>
            <w:gridSpan w:val="2"/>
            <w:tcBorders>
              <w:top w:val="single" w:color="auto" w:sz="4" w:space="0"/>
              <w:left w:val="nil"/>
              <w:bottom w:val="single" w:color="auto" w:sz="4" w:space="0"/>
              <w:right w:val="single" w:color="auto" w:sz="4" w:space="0"/>
              <w:tl2br w:val="nil"/>
              <w:tr2bl w:val="nil"/>
            </w:tcBorders>
            <w:shd w:val="clear" w:color="auto" w:fill="FFFFFF"/>
            <w:vAlign w:val="center"/>
          </w:tcPr>
          <w:p w14:paraId="46EEE0D4">
            <w:pPr>
              <w:widowControl/>
              <w:jc w:val="center"/>
              <w:rPr>
                <w:rFonts w:ascii="宋体" w:hAnsi="宋体" w:eastAsia="宋体"/>
                <w:kern w:val="0"/>
                <w:sz w:val="18"/>
                <w:szCs w:val="18"/>
              </w:rPr>
            </w:pPr>
            <w:r>
              <w:rPr>
                <w:rFonts w:hint="eastAsia" w:ascii="宋体" w:hAnsi="宋体" w:eastAsia="宋体"/>
                <w:kern w:val="0"/>
                <w:sz w:val="18"/>
                <w:szCs w:val="18"/>
              </w:rPr>
              <w:t>小计</w:t>
            </w:r>
          </w:p>
        </w:tc>
        <w:tc>
          <w:tcPr>
            <w:tcW w:w="720" w:type="dxa"/>
            <w:tcBorders>
              <w:top w:val="nil"/>
              <w:left w:val="nil"/>
              <w:bottom w:val="single" w:color="auto" w:sz="4" w:space="0"/>
              <w:right w:val="single" w:color="auto" w:sz="4" w:space="0"/>
              <w:tl2br w:val="nil"/>
              <w:tr2bl w:val="nil"/>
            </w:tcBorders>
            <w:shd w:val="clear" w:color="auto" w:fill="FFFFFF"/>
            <w:vAlign w:val="center"/>
          </w:tcPr>
          <w:p w14:paraId="2DFD7CF7">
            <w:pPr>
              <w:widowControl/>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1288</w:t>
            </w:r>
          </w:p>
        </w:tc>
        <w:tc>
          <w:tcPr>
            <w:tcW w:w="685" w:type="dxa"/>
            <w:gridSpan w:val="2"/>
            <w:tcBorders>
              <w:top w:val="nil"/>
              <w:left w:val="nil"/>
              <w:bottom w:val="single" w:color="auto" w:sz="4" w:space="0"/>
              <w:right w:val="single" w:color="auto" w:sz="4" w:space="0"/>
              <w:tl2br w:val="nil"/>
              <w:tr2bl w:val="nil"/>
            </w:tcBorders>
            <w:shd w:val="clear" w:color="auto" w:fill="FFFFFF"/>
            <w:vAlign w:val="center"/>
          </w:tcPr>
          <w:p w14:paraId="6C975ABD">
            <w:pPr>
              <w:widowControl/>
              <w:jc w:val="center"/>
              <w:rPr>
                <w:rFonts w:ascii="宋体" w:hAnsi="宋体" w:eastAsia="宋体"/>
                <w:kern w:val="0"/>
                <w:sz w:val="18"/>
                <w:szCs w:val="18"/>
              </w:rPr>
            </w:pPr>
            <w:r>
              <w:rPr>
                <w:rFonts w:hint="eastAsia" w:ascii="宋体" w:hAnsi="宋体" w:eastAsia="宋体"/>
                <w:kern w:val="0"/>
                <w:sz w:val="18"/>
                <w:szCs w:val="18"/>
              </w:rPr>
              <w:t>21</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5A6A3382">
            <w:pPr>
              <w:widowControl/>
              <w:jc w:val="center"/>
              <w:rPr>
                <w:rFonts w:ascii="宋体" w:hAnsi="宋体" w:eastAsia="宋体"/>
                <w:kern w:val="0"/>
                <w:sz w:val="18"/>
                <w:szCs w:val="18"/>
              </w:rPr>
            </w:pPr>
            <w:r>
              <w:rPr>
                <w:rFonts w:hint="eastAsia" w:ascii="宋体" w:hAnsi="宋体" w:eastAsia="宋体"/>
                <w:kern w:val="0"/>
                <w:sz w:val="18"/>
                <w:szCs w:val="18"/>
              </w:rPr>
              <w:t>17</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2D51BEE1">
            <w:pPr>
              <w:widowControl/>
              <w:jc w:val="center"/>
              <w:rPr>
                <w:rFonts w:ascii="宋体" w:hAnsi="宋体" w:eastAsia="宋体"/>
                <w:kern w:val="0"/>
                <w:sz w:val="18"/>
                <w:szCs w:val="18"/>
              </w:rPr>
            </w:pPr>
            <w:r>
              <w:rPr>
                <w:rFonts w:hint="eastAsia" w:ascii="宋体" w:hAnsi="宋体" w:eastAsia="宋体"/>
                <w:kern w:val="0"/>
                <w:sz w:val="18"/>
                <w:szCs w:val="18"/>
              </w:rPr>
              <w:t>4</w:t>
            </w:r>
          </w:p>
        </w:tc>
        <w:tc>
          <w:tcPr>
            <w:tcW w:w="567" w:type="dxa"/>
            <w:tcBorders>
              <w:top w:val="nil"/>
              <w:left w:val="nil"/>
              <w:bottom w:val="single" w:color="auto" w:sz="4" w:space="0"/>
              <w:right w:val="single" w:color="auto" w:sz="4" w:space="0"/>
              <w:tl2br w:val="nil"/>
              <w:tr2bl w:val="nil"/>
            </w:tcBorders>
            <w:shd w:val="clear" w:color="auto" w:fill="FFFFFF"/>
            <w:vAlign w:val="center"/>
          </w:tcPr>
          <w:p w14:paraId="65E87BF5">
            <w:pPr>
              <w:widowControl/>
              <w:jc w:val="center"/>
              <w:rPr>
                <w:rFonts w:ascii="宋体" w:hAnsi="宋体" w:eastAsia="宋体"/>
                <w:kern w:val="0"/>
                <w:sz w:val="18"/>
                <w:szCs w:val="18"/>
              </w:rPr>
            </w:pPr>
            <w:r>
              <w:rPr>
                <w:rFonts w:hint="eastAsia" w:ascii="宋体" w:hAnsi="宋体" w:eastAsia="宋体"/>
                <w:kern w:val="0"/>
                <w:sz w:val="18"/>
                <w:szCs w:val="18"/>
              </w:rPr>
              <w:t>4</w:t>
            </w:r>
          </w:p>
        </w:tc>
        <w:tc>
          <w:tcPr>
            <w:tcW w:w="1164" w:type="dxa"/>
            <w:vMerge w:val="continue"/>
            <w:tcBorders>
              <w:top w:val="nil"/>
              <w:left w:val="nil"/>
              <w:bottom w:val="single" w:color="auto" w:sz="4" w:space="0"/>
              <w:right w:val="single" w:color="auto" w:sz="4" w:space="0"/>
              <w:tl2br w:val="nil"/>
              <w:tr2bl w:val="nil"/>
            </w:tcBorders>
            <w:vAlign w:val="center"/>
          </w:tcPr>
          <w:p w14:paraId="7F54C41E">
            <w:pPr>
              <w:widowControl/>
              <w:rPr>
                <w:rFonts w:ascii="宋体" w:hAnsi="宋体" w:eastAsia="宋体"/>
                <w:kern w:val="0"/>
                <w:sz w:val="18"/>
                <w:szCs w:val="18"/>
              </w:rPr>
            </w:pPr>
          </w:p>
        </w:tc>
      </w:tr>
      <w:tr w14:paraId="457DFED5">
        <w:tblPrEx>
          <w:tblCellMar>
            <w:top w:w="0" w:type="dxa"/>
            <w:left w:w="108" w:type="dxa"/>
            <w:bottom w:w="0" w:type="dxa"/>
            <w:right w:w="108" w:type="dxa"/>
          </w:tblCellMar>
        </w:tblPrEx>
        <w:trPr>
          <w:trHeight w:val="284" w:hRule="atLeast"/>
        </w:trPr>
        <w:tc>
          <w:tcPr>
            <w:tcW w:w="680" w:type="dxa"/>
            <w:vMerge w:val="restart"/>
            <w:tcBorders>
              <w:top w:val="nil"/>
              <w:left w:val="single" w:color="auto" w:sz="4" w:space="0"/>
              <w:bottom w:val="single" w:color="auto" w:sz="4" w:space="0"/>
              <w:right w:val="single" w:color="auto" w:sz="4" w:space="0"/>
              <w:tl2br w:val="nil"/>
              <w:tr2bl w:val="nil"/>
            </w:tcBorders>
            <w:shd w:val="clear" w:color="auto" w:fill="FFFFFF"/>
            <w:vAlign w:val="center"/>
          </w:tcPr>
          <w:p w14:paraId="1210AEF9">
            <w:pPr>
              <w:widowControl/>
              <w:jc w:val="center"/>
              <w:rPr>
                <w:rFonts w:ascii="宋体" w:hAnsi="宋体" w:eastAsia="宋体"/>
                <w:b/>
                <w:kern w:val="0"/>
                <w:sz w:val="18"/>
                <w:szCs w:val="18"/>
              </w:rPr>
            </w:pPr>
            <w:r>
              <w:rPr>
                <w:rFonts w:hint="eastAsia" w:ascii="宋体" w:hAnsi="宋体" w:eastAsia="宋体"/>
                <w:b/>
                <w:kern w:val="0"/>
                <w:sz w:val="18"/>
                <w:szCs w:val="18"/>
              </w:rPr>
              <w:t>专</w:t>
            </w:r>
          </w:p>
          <w:p w14:paraId="437C011B">
            <w:pPr>
              <w:widowControl/>
              <w:jc w:val="center"/>
              <w:rPr>
                <w:rFonts w:ascii="宋体" w:hAnsi="宋体" w:eastAsia="宋体"/>
                <w:b/>
                <w:kern w:val="0"/>
                <w:sz w:val="18"/>
                <w:szCs w:val="18"/>
              </w:rPr>
            </w:pPr>
            <w:r>
              <w:rPr>
                <w:rFonts w:hint="eastAsia" w:ascii="宋体" w:hAnsi="宋体" w:eastAsia="宋体"/>
                <w:b/>
                <w:kern w:val="0"/>
                <w:sz w:val="18"/>
                <w:szCs w:val="18"/>
              </w:rPr>
              <w:t>业</w:t>
            </w:r>
          </w:p>
          <w:p w14:paraId="5C616763">
            <w:pPr>
              <w:widowControl/>
              <w:jc w:val="center"/>
              <w:rPr>
                <w:rFonts w:ascii="宋体" w:hAnsi="宋体" w:eastAsia="宋体"/>
                <w:b/>
                <w:kern w:val="0"/>
                <w:sz w:val="18"/>
                <w:szCs w:val="18"/>
              </w:rPr>
            </w:pPr>
            <w:r>
              <w:rPr>
                <w:rFonts w:hint="eastAsia" w:ascii="宋体" w:hAnsi="宋体" w:eastAsia="宋体"/>
                <w:b/>
                <w:kern w:val="0"/>
                <w:sz w:val="18"/>
                <w:szCs w:val="18"/>
              </w:rPr>
              <w:t>技</w:t>
            </w:r>
          </w:p>
          <w:p w14:paraId="58DC332E">
            <w:pPr>
              <w:widowControl/>
              <w:jc w:val="center"/>
              <w:rPr>
                <w:rFonts w:ascii="宋体" w:hAnsi="宋体" w:eastAsia="宋体"/>
                <w:b/>
                <w:kern w:val="0"/>
                <w:sz w:val="18"/>
                <w:szCs w:val="18"/>
              </w:rPr>
            </w:pPr>
            <w:r>
              <w:rPr>
                <w:rFonts w:hint="eastAsia" w:ascii="宋体" w:hAnsi="宋体" w:eastAsia="宋体"/>
                <w:b/>
                <w:kern w:val="0"/>
                <w:sz w:val="18"/>
                <w:szCs w:val="18"/>
              </w:rPr>
              <w:t>能</w:t>
            </w:r>
          </w:p>
          <w:p w14:paraId="3FA44C77">
            <w:pPr>
              <w:widowControl/>
              <w:jc w:val="center"/>
              <w:rPr>
                <w:rFonts w:ascii="宋体" w:hAnsi="宋体" w:eastAsia="宋体"/>
                <w:b/>
                <w:kern w:val="0"/>
                <w:sz w:val="18"/>
                <w:szCs w:val="18"/>
              </w:rPr>
            </w:pPr>
            <w:r>
              <w:rPr>
                <w:rFonts w:hint="eastAsia" w:ascii="宋体" w:hAnsi="宋体" w:eastAsia="宋体"/>
                <w:b/>
                <w:kern w:val="0"/>
                <w:sz w:val="18"/>
                <w:szCs w:val="18"/>
              </w:rPr>
              <w:t>课</w:t>
            </w:r>
          </w:p>
          <w:p w14:paraId="510C236D">
            <w:pPr>
              <w:widowControl/>
              <w:jc w:val="center"/>
              <w:rPr>
                <w:rFonts w:ascii="宋体" w:hAnsi="宋体" w:eastAsia="宋体"/>
                <w:b/>
                <w:kern w:val="0"/>
                <w:sz w:val="18"/>
                <w:szCs w:val="18"/>
              </w:rPr>
            </w:pPr>
            <w:r>
              <w:rPr>
                <w:rFonts w:hint="eastAsia" w:ascii="宋体" w:hAnsi="宋体" w:eastAsia="宋体"/>
                <w:b/>
                <w:kern w:val="0"/>
                <w:sz w:val="18"/>
                <w:szCs w:val="18"/>
              </w:rPr>
              <w:t>程</w:t>
            </w:r>
          </w:p>
        </w:tc>
        <w:tc>
          <w:tcPr>
            <w:tcW w:w="611" w:type="dxa"/>
            <w:vMerge w:val="restart"/>
            <w:tcBorders>
              <w:top w:val="nil"/>
              <w:left w:val="nil"/>
              <w:bottom w:val="single" w:color="auto" w:sz="4" w:space="0"/>
              <w:right w:val="single" w:color="auto" w:sz="4" w:space="0"/>
              <w:tl2br w:val="nil"/>
              <w:tr2bl w:val="nil"/>
            </w:tcBorders>
            <w:shd w:val="clear" w:color="auto" w:fill="FFFFFF"/>
            <w:vAlign w:val="center"/>
          </w:tcPr>
          <w:p w14:paraId="46831FE8">
            <w:pPr>
              <w:widowControl/>
              <w:jc w:val="center"/>
              <w:rPr>
                <w:rFonts w:ascii="宋体" w:hAnsi="宋体" w:eastAsia="宋体"/>
                <w:b/>
                <w:kern w:val="0"/>
                <w:sz w:val="18"/>
                <w:szCs w:val="18"/>
              </w:rPr>
            </w:pPr>
            <w:r>
              <w:rPr>
                <w:rFonts w:hint="eastAsia" w:ascii="宋体" w:hAnsi="宋体" w:eastAsia="宋体"/>
                <w:b/>
                <w:kern w:val="0"/>
                <w:sz w:val="18"/>
                <w:szCs w:val="18"/>
              </w:rPr>
              <w:t>专业基础课程</w:t>
            </w:r>
          </w:p>
        </w:tc>
        <w:tc>
          <w:tcPr>
            <w:tcW w:w="1185" w:type="dxa"/>
            <w:tcBorders>
              <w:top w:val="nil"/>
              <w:left w:val="nil"/>
              <w:bottom w:val="single" w:color="auto" w:sz="4" w:space="0"/>
              <w:right w:val="single" w:color="auto" w:sz="4" w:space="0"/>
              <w:tl2br w:val="nil"/>
              <w:tr2bl w:val="nil"/>
            </w:tcBorders>
            <w:shd w:val="clear" w:color="auto" w:fill="FFFFFF"/>
            <w:vAlign w:val="center"/>
          </w:tcPr>
          <w:p w14:paraId="682B757C">
            <w:pPr>
              <w:widowControl/>
              <w:jc w:val="center"/>
              <w:rPr>
                <w:rFonts w:ascii="宋体" w:hAnsi="宋体" w:eastAsia="宋体"/>
                <w:kern w:val="0"/>
                <w:sz w:val="18"/>
                <w:szCs w:val="18"/>
              </w:rPr>
            </w:pPr>
            <w:r>
              <w:rPr>
                <w:rFonts w:hint="eastAsia" w:ascii="宋体" w:hAnsi="宋体" w:eastAsia="宋体"/>
                <w:kern w:val="0"/>
                <w:sz w:val="18"/>
                <w:szCs w:val="18"/>
              </w:rPr>
              <w:t>1</w:t>
            </w:r>
          </w:p>
        </w:tc>
        <w:tc>
          <w:tcPr>
            <w:tcW w:w="2230" w:type="dxa"/>
            <w:tcBorders>
              <w:top w:val="nil"/>
              <w:left w:val="nil"/>
              <w:bottom w:val="single" w:color="auto" w:sz="4" w:space="0"/>
              <w:right w:val="single" w:color="auto" w:sz="4" w:space="0"/>
              <w:tl2br w:val="nil"/>
              <w:tr2bl w:val="nil"/>
            </w:tcBorders>
            <w:shd w:val="clear" w:color="auto" w:fill="FFFFFF"/>
            <w:vAlign w:val="center"/>
          </w:tcPr>
          <w:p w14:paraId="2738E884">
            <w:pPr>
              <w:widowControl/>
              <w:jc w:val="center"/>
              <w:rPr>
                <w:rFonts w:ascii="宋体" w:hAnsi="宋体" w:eastAsia="宋体"/>
                <w:kern w:val="0"/>
                <w:sz w:val="18"/>
                <w:szCs w:val="18"/>
              </w:rPr>
            </w:pPr>
            <w:r>
              <w:rPr>
                <w:rFonts w:hint="eastAsia" w:ascii="宋体" w:hAnsi="宋体" w:eastAsia="宋体"/>
                <w:kern w:val="0"/>
                <w:sz w:val="18"/>
                <w:szCs w:val="18"/>
              </w:rPr>
              <w:t>会计基础</w:t>
            </w:r>
          </w:p>
        </w:tc>
        <w:tc>
          <w:tcPr>
            <w:tcW w:w="720" w:type="dxa"/>
            <w:tcBorders>
              <w:top w:val="nil"/>
              <w:left w:val="nil"/>
              <w:bottom w:val="single" w:color="auto" w:sz="4" w:space="0"/>
              <w:right w:val="single" w:color="auto" w:sz="4" w:space="0"/>
              <w:tl2br w:val="nil"/>
              <w:tr2bl w:val="nil"/>
            </w:tcBorders>
            <w:shd w:val="clear" w:color="auto" w:fill="FFFFFF"/>
            <w:vAlign w:val="center"/>
          </w:tcPr>
          <w:p w14:paraId="0FD83541">
            <w:pPr>
              <w:widowControl/>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224</w:t>
            </w:r>
          </w:p>
        </w:tc>
        <w:tc>
          <w:tcPr>
            <w:tcW w:w="685" w:type="dxa"/>
            <w:gridSpan w:val="2"/>
            <w:tcBorders>
              <w:top w:val="nil"/>
              <w:left w:val="nil"/>
              <w:bottom w:val="single" w:color="auto" w:sz="4" w:space="0"/>
              <w:right w:val="single" w:color="auto" w:sz="4" w:space="0"/>
              <w:tl2br w:val="nil"/>
              <w:tr2bl w:val="nil"/>
            </w:tcBorders>
            <w:shd w:val="clear" w:color="auto" w:fill="FFFFFF"/>
            <w:vAlign w:val="center"/>
          </w:tcPr>
          <w:p w14:paraId="0ABDB4B6">
            <w:pPr>
              <w:widowControl/>
              <w:jc w:val="center"/>
              <w:rPr>
                <w:rFonts w:hint="eastAsia" w:ascii="宋体" w:hAnsi="宋体" w:eastAsia="宋体"/>
                <w:kern w:val="0"/>
                <w:sz w:val="18"/>
                <w:szCs w:val="18"/>
                <w:lang w:eastAsia="zh-CN"/>
              </w:rPr>
            </w:pPr>
            <w:r>
              <w:rPr>
                <w:rFonts w:hint="eastAsia" w:ascii="宋体" w:hAnsi="宋体" w:eastAsia="宋体"/>
                <w:kern w:val="0"/>
                <w:sz w:val="18"/>
                <w:szCs w:val="18"/>
                <w:lang w:val="en-US" w:eastAsia="zh-CN"/>
              </w:rPr>
              <w:t>6</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5208EADE">
            <w:pPr>
              <w:widowControl/>
              <w:jc w:val="center"/>
              <w:rPr>
                <w:rFonts w:hint="eastAsia" w:ascii="宋体" w:hAnsi="宋体" w:eastAsia="宋体"/>
                <w:kern w:val="0"/>
                <w:sz w:val="18"/>
                <w:szCs w:val="18"/>
                <w:lang w:eastAsia="zh-CN"/>
              </w:rPr>
            </w:pPr>
            <w:r>
              <w:rPr>
                <w:rFonts w:hint="eastAsia" w:ascii="宋体" w:hAnsi="宋体" w:eastAsia="宋体"/>
                <w:kern w:val="0"/>
                <w:sz w:val="18"/>
                <w:szCs w:val="18"/>
                <w:lang w:val="en-US" w:eastAsia="zh-CN"/>
              </w:rPr>
              <w:t>8</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03C27BBF">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567" w:type="dxa"/>
            <w:tcBorders>
              <w:top w:val="nil"/>
              <w:left w:val="nil"/>
              <w:bottom w:val="single" w:color="auto" w:sz="4" w:space="0"/>
              <w:right w:val="single" w:color="auto" w:sz="4" w:space="0"/>
              <w:tl2br w:val="nil"/>
              <w:tr2bl w:val="nil"/>
            </w:tcBorders>
            <w:shd w:val="clear" w:color="auto" w:fill="FFFFFF"/>
            <w:vAlign w:val="center"/>
          </w:tcPr>
          <w:p w14:paraId="1199180F">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1164" w:type="dxa"/>
            <w:vMerge w:val="continue"/>
            <w:tcBorders>
              <w:top w:val="nil"/>
              <w:left w:val="nil"/>
              <w:bottom w:val="single" w:color="auto" w:sz="4" w:space="0"/>
              <w:right w:val="single" w:color="auto" w:sz="4" w:space="0"/>
              <w:tl2br w:val="nil"/>
              <w:tr2bl w:val="nil"/>
            </w:tcBorders>
            <w:vAlign w:val="center"/>
          </w:tcPr>
          <w:p w14:paraId="7FE77DE8">
            <w:pPr>
              <w:widowControl/>
              <w:rPr>
                <w:rFonts w:ascii="宋体" w:hAnsi="宋体" w:eastAsia="宋体"/>
                <w:kern w:val="0"/>
                <w:sz w:val="18"/>
                <w:szCs w:val="18"/>
              </w:rPr>
            </w:pPr>
          </w:p>
        </w:tc>
      </w:tr>
      <w:tr w14:paraId="49E5CF1A">
        <w:tblPrEx>
          <w:tblCellMar>
            <w:top w:w="0" w:type="dxa"/>
            <w:left w:w="108" w:type="dxa"/>
            <w:bottom w:w="0" w:type="dxa"/>
            <w:right w:w="108" w:type="dxa"/>
          </w:tblCellMar>
        </w:tblPrEx>
        <w:trPr>
          <w:trHeight w:val="284" w:hRule="atLeast"/>
        </w:trPr>
        <w:tc>
          <w:tcPr>
            <w:tcW w:w="680"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14:paraId="5279C955">
            <w:pPr>
              <w:widowControl/>
              <w:rPr>
                <w:rFonts w:ascii="宋体" w:hAnsi="宋体" w:eastAsia="宋体"/>
                <w:b/>
                <w:kern w:val="0"/>
                <w:sz w:val="18"/>
                <w:szCs w:val="18"/>
              </w:rPr>
            </w:pPr>
          </w:p>
        </w:tc>
        <w:tc>
          <w:tcPr>
            <w:tcW w:w="611" w:type="dxa"/>
            <w:vMerge w:val="continue"/>
            <w:tcBorders>
              <w:top w:val="nil"/>
              <w:left w:val="nil"/>
              <w:bottom w:val="single" w:color="auto" w:sz="4" w:space="0"/>
              <w:right w:val="single" w:color="auto" w:sz="4" w:space="0"/>
              <w:tl2br w:val="nil"/>
              <w:tr2bl w:val="nil"/>
            </w:tcBorders>
            <w:shd w:val="clear" w:color="auto" w:fill="auto"/>
            <w:vAlign w:val="center"/>
          </w:tcPr>
          <w:p w14:paraId="1E0AA254">
            <w:pPr>
              <w:widowControl/>
              <w:rPr>
                <w:rFonts w:ascii="宋体" w:hAnsi="宋体" w:eastAsia="宋体"/>
                <w:b/>
                <w:kern w:val="0"/>
                <w:sz w:val="18"/>
                <w:szCs w:val="18"/>
              </w:rPr>
            </w:pPr>
          </w:p>
        </w:tc>
        <w:tc>
          <w:tcPr>
            <w:tcW w:w="1185" w:type="dxa"/>
            <w:tcBorders>
              <w:top w:val="nil"/>
              <w:left w:val="nil"/>
              <w:bottom w:val="single" w:color="auto" w:sz="4" w:space="0"/>
              <w:right w:val="single" w:color="auto" w:sz="4" w:space="0"/>
              <w:tl2br w:val="nil"/>
              <w:tr2bl w:val="nil"/>
            </w:tcBorders>
            <w:shd w:val="clear" w:color="auto" w:fill="FFFFFF"/>
            <w:vAlign w:val="center"/>
          </w:tcPr>
          <w:p w14:paraId="6EEA1F0B">
            <w:pPr>
              <w:widowControl/>
              <w:jc w:val="center"/>
              <w:rPr>
                <w:rFonts w:ascii="宋体" w:hAnsi="宋体" w:eastAsia="宋体"/>
                <w:kern w:val="0"/>
                <w:sz w:val="18"/>
                <w:szCs w:val="18"/>
              </w:rPr>
            </w:pPr>
            <w:r>
              <w:rPr>
                <w:rFonts w:hint="eastAsia" w:ascii="宋体" w:hAnsi="宋体" w:eastAsia="宋体"/>
                <w:kern w:val="0"/>
                <w:sz w:val="18"/>
                <w:szCs w:val="18"/>
              </w:rPr>
              <w:t>2</w:t>
            </w:r>
          </w:p>
        </w:tc>
        <w:tc>
          <w:tcPr>
            <w:tcW w:w="2230" w:type="dxa"/>
            <w:tcBorders>
              <w:top w:val="nil"/>
              <w:left w:val="nil"/>
              <w:bottom w:val="single" w:color="auto" w:sz="4" w:space="0"/>
              <w:right w:val="single" w:color="auto" w:sz="4" w:space="0"/>
              <w:tl2br w:val="nil"/>
              <w:tr2bl w:val="nil"/>
            </w:tcBorders>
            <w:shd w:val="clear" w:color="auto" w:fill="FFFFFF"/>
            <w:vAlign w:val="center"/>
          </w:tcPr>
          <w:p w14:paraId="185CBBFA">
            <w:pPr>
              <w:widowControl/>
              <w:jc w:val="center"/>
              <w:rPr>
                <w:rFonts w:ascii="宋体" w:hAnsi="宋体" w:eastAsia="宋体"/>
                <w:kern w:val="0"/>
                <w:sz w:val="18"/>
                <w:szCs w:val="18"/>
              </w:rPr>
            </w:pPr>
            <w:r>
              <w:rPr>
                <w:rFonts w:hint="eastAsia" w:ascii="宋体" w:hAnsi="宋体" w:eastAsia="宋体"/>
                <w:kern w:val="0"/>
                <w:sz w:val="18"/>
                <w:szCs w:val="18"/>
              </w:rPr>
              <w:t>财经法规与会计职业道德</w:t>
            </w:r>
          </w:p>
        </w:tc>
        <w:tc>
          <w:tcPr>
            <w:tcW w:w="720" w:type="dxa"/>
            <w:tcBorders>
              <w:top w:val="nil"/>
              <w:left w:val="nil"/>
              <w:bottom w:val="single" w:color="auto" w:sz="4" w:space="0"/>
              <w:right w:val="single" w:color="auto" w:sz="4" w:space="0"/>
              <w:tl2br w:val="nil"/>
              <w:tr2bl w:val="nil"/>
            </w:tcBorders>
            <w:shd w:val="clear" w:color="auto" w:fill="FFFFFF"/>
            <w:vAlign w:val="center"/>
          </w:tcPr>
          <w:p w14:paraId="65BAA12E">
            <w:pPr>
              <w:widowControl/>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192</w:t>
            </w:r>
          </w:p>
        </w:tc>
        <w:tc>
          <w:tcPr>
            <w:tcW w:w="685" w:type="dxa"/>
            <w:gridSpan w:val="2"/>
            <w:tcBorders>
              <w:top w:val="nil"/>
              <w:left w:val="nil"/>
              <w:bottom w:val="single" w:color="auto" w:sz="4" w:space="0"/>
              <w:right w:val="single" w:color="auto" w:sz="4" w:space="0"/>
              <w:tl2br w:val="nil"/>
              <w:tr2bl w:val="nil"/>
            </w:tcBorders>
            <w:shd w:val="clear" w:color="auto" w:fill="FFFFFF"/>
            <w:vAlign w:val="center"/>
          </w:tcPr>
          <w:p w14:paraId="1EA26181">
            <w:pPr>
              <w:widowControl/>
              <w:jc w:val="center"/>
              <w:rPr>
                <w:rFonts w:hint="eastAsia" w:ascii="宋体" w:hAnsi="宋体" w:eastAsia="宋体"/>
                <w:kern w:val="0"/>
                <w:sz w:val="18"/>
                <w:szCs w:val="18"/>
                <w:lang w:eastAsia="zh-CN"/>
              </w:rPr>
            </w:pPr>
            <w:r>
              <w:rPr>
                <w:rFonts w:hint="eastAsia" w:ascii="宋体" w:hAnsi="宋体" w:eastAsia="宋体"/>
                <w:kern w:val="0"/>
                <w:sz w:val="18"/>
                <w:szCs w:val="18"/>
                <w:lang w:val="en-US" w:eastAsia="zh-CN"/>
              </w:rPr>
              <w:t>7</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46BB662C">
            <w:pPr>
              <w:widowControl/>
              <w:jc w:val="center"/>
              <w:rPr>
                <w:rFonts w:hint="eastAsia" w:ascii="宋体" w:hAnsi="宋体" w:eastAsia="宋体"/>
                <w:kern w:val="0"/>
                <w:sz w:val="18"/>
                <w:szCs w:val="18"/>
                <w:lang w:eastAsia="zh-CN"/>
              </w:rPr>
            </w:pPr>
            <w:r>
              <w:rPr>
                <w:rFonts w:hint="eastAsia" w:ascii="宋体" w:hAnsi="宋体" w:eastAsia="宋体"/>
                <w:kern w:val="0"/>
                <w:sz w:val="18"/>
                <w:szCs w:val="18"/>
                <w:lang w:val="en-US" w:eastAsia="zh-CN"/>
              </w:rPr>
              <w:t>5</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1C9637CD">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567" w:type="dxa"/>
            <w:tcBorders>
              <w:top w:val="nil"/>
              <w:left w:val="nil"/>
              <w:bottom w:val="single" w:color="auto" w:sz="4" w:space="0"/>
              <w:right w:val="single" w:color="auto" w:sz="4" w:space="0"/>
              <w:tl2br w:val="nil"/>
              <w:tr2bl w:val="nil"/>
            </w:tcBorders>
            <w:shd w:val="clear" w:color="auto" w:fill="FFFFFF"/>
            <w:vAlign w:val="center"/>
          </w:tcPr>
          <w:p w14:paraId="4A2555DD">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1164" w:type="dxa"/>
            <w:vMerge w:val="continue"/>
            <w:tcBorders>
              <w:top w:val="nil"/>
              <w:left w:val="nil"/>
              <w:bottom w:val="single" w:color="auto" w:sz="4" w:space="0"/>
              <w:right w:val="single" w:color="auto" w:sz="4" w:space="0"/>
              <w:tl2br w:val="nil"/>
              <w:tr2bl w:val="nil"/>
            </w:tcBorders>
            <w:vAlign w:val="center"/>
          </w:tcPr>
          <w:p w14:paraId="530E0A55">
            <w:pPr>
              <w:widowControl/>
              <w:rPr>
                <w:rFonts w:ascii="宋体" w:hAnsi="宋体" w:eastAsia="宋体"/>
                <w:kern w:val="0"/>
                <w:sz w:val="18"/>
                <w:szCs w:val="18"/>
              </w:rPr>
            </w:pPr>
          </w:p>
        </w:tc>
      </w:tr>
      <w:tr w14:paraId="0903BDC5">
        <w:tblPrEx>
          <w:tblCellMar>
            <w:top w:w="0" w:type="dxa"/>
            <w:left w:w="108" w:type="dxa"/>
            <w:bottom w:w="0" w:type="dxa"/>
            <w:right w:w="108" w:type="dxa"/>
          </w:tblCellMar>
        </w:tblPrEx>
        <w:trPr>
          <w:trHeight w:val="284" w:hRule="atLeast"/>
        </w:trPr>
        <w:tc>
          <w:tcPr>
            <w:tcW w:w="680"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14:paraId="3F85E9DD">
            <w:pPr>
              <w:widowControl/>
              <w:rPr>
                <w:rFonts w:ascii="宋体" w:hAnsi="宋体" w:eastAsia="宋体"/>
                <w:b/>
                <w:kern w:val="0"/>
                <w:sz w:val="18"/>
                <w:szCs w:val="18"/>
              </w:rPr>
            </w:pPr>
          </w:p>
        </w:tc>
        <w:tc>
          <w:tcPr>
            <w:tcW w:w="611" w:type="dxa"/>
            <w:vMerge w:val="continue"/>
            <w:tcBorders>
              <w:top w:val="nil"/>
              <w:left w:val="nil"/>
              <w:bottom w:val="single" w:color="auto" w:sz="4" w:space="0"/>
              <w:right w:val="single" w:color="auto" w:sz="4" w:space="0"/>
              <w:tl2br w:val="nil"/>
              <w:tr2bl w:val="nil"/>
            </w:tcBorders>
            <w:shd w:val="clear" w:color="auto" w:fill="auto"/>
            <w:vAlign w:val="center"/>
          </w:tcPr>
          <w:p w14:paraId="2CAE8D0E">
            <w:pPr>
              <w:widowControl/>
              <w:rPr>
                <w:rFonts w:ascii="宋体" w:hAnsi="宋体" w:eastAsia="宋体"/>
                <w:b/>
                <w:kern w:val="0"/>
                <w:sz w:val="18"/>
                <w:szCs w:val="18"/>
              </w:rPr>
            </w:pPr>
          </w:p>
        </w:tc>
        <w:tc>
          <w:tcPr>
            <w:tcW w:w="1185" w:type="dxa"/>
            <w:tcBorders>
              <w:top w:val="nil"/>
              <w:left w:val="nil"/>
              <w:bottom w:val="single" w:color="auto" w:sz="4" w:space="0"/>
              <w:right w:val="single" w:color="auto" w:sz="4" w:space="0"/>
              <w:tl2br w:val="nil"/>
              <w:tr2bl w:val="nil"/>
            </w:tcBorders>
            <w:shd w:val="clear" w:color="auto" w:fill="FFFFFF"/>
            <w:vAlign w:val="center"/>
          </w:tcPr>
          <w:p w14:paraId="6B909D9B">
            <w:pPr>
              <w:widowControl/>
              <w:jc w:val="center"/>
              <w:rPr>
                <w:rFonts w:ascii="宋体" w:hAnsi="宋体" w:eastAsia="宋体"/>
                <w:kern w:val="0"/>
                <w:sz w:val="18"/>
                <w:szCs w:val="18"/>
              </w:rPr>
            </w:pPr>
            <w:r>
              <w:rPr>
                <w:rFonts w:hint="eastAsia" w:ascii="宋体" w:hAnsi="宋体" w:eastAsia="宋体"/>
                <w:kern w:val="0"/>
                <w:sz w:val="18"/>
                <w:szCs w:val="18"/>
              </w:rPr>
              <w:t>3</w:t>
            </w:r>
          </w:p>
        </w:tc>
        <w:tc>
          <w:tcPr>
            <w:tcW w:w="2230" w:type="dxa"/>
            <w:tcBorders>
              <w:top w:val="nil"/>
              <w:left w:val="nil"/>
              <w:bottom w:val="single" w:color="auto" w:sz="4" w:space="0"/>
              <w:right w:val="single" w:color="auto" w:sz="4" w:space="0"/>
              <w:tl2br w:val="nil"/>
              <w:tr2bl w:val="nil"/>
            </w:tcBorders>
            <w:shd w:val="clear" w:color="auto" w:fill="FFFFFF"/>
            <w:vAlign w:val="center"/>
          </w:tcPr>
          <w:p w14:paraId="69902F8F">
            <w:pPr>
              <w:widowControl/>
              <w:jc w:val="center"/>
              <w:rPr>
                <w:rFonts w:ascii="宋体" w:hAnsi="宋体" w:eastAsia="宋体"/>
                <w:kern w:val="0"/>
                <w:sz w:val="18"/>
                <w:szCs w:val="18"/>
              </w:rPr>
            </w:pPr>
            <w:r>
              <w:rPr>
                <w:rFonts w:hint="eastAsia" w:ascii="宋体" w:hAnsi="宋体" w:eastAsia="宋体"/>
                <w:kern w:val="0"/>
                <w:sz w:val="18"/>
                <w:szCs w:val="18"/>
              </w:rPr>
              <w:t>金融基础</w:t>
            </w:r>
          </w:p>
        </w:tc>
        <w:tc>
          <w:tcPr>
            <w:tcW w:w="720" w:type="dxa"/>
            <w:tcBorders>
              <w:top w:val="nil"/>
              <w:left w:val="nil"/>
              <w:bottom w:val="single" w:color="auto" w:sz="4" w:space="0"/>
              <w:right w:val="single" w:color="auto" w:sz="4" w:space="0"/>
              <w:tl2br w:val="nil"/>
              <w:tr2bl w:val="nil"/>
            </w:tcBorders>
            <w:shd w:val="clear" w:color="auto" w:fill="FFFFFF"/>
            <w:vAlign w:val="center"/>
          </w:tcPr>
          <w:p w14:paraId="7B0F8F2B">
            <w:pPr>
              <w:widowControl/>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128</w:t>
            </w:r>
          </w:p>
        </w:tc>
        <w:tc>
          <w:tcPr>
            <w:tcW w:w="685" w:type="dxa"/>
            <w:gridSpan w:val="2"/>
            <w:tcBorders>
              <w:top w:val="nil"/>
              <w:left w:val="nil"/>
              <w:bottom w:val="single" w:color="auto" w:sz="4" w:space="0"/>
              <w:right w:val="single" w:color="auto" w:sz="4" w:space="0"/>
              <w:tl2br w:val="nil"/>
              <w:tr2bl w:val="nil"/>
            </w:tcBorders>
            <w:shd w:val="clear" w:color="auto" w:fill="FFFFFF"/>
            <w:vAlign w:val="center"/>
          </w:tcPr>
          <w:p w14:paraId="1FF97FC3">
            <w:pPr>
              <w:widowControl/>
              <w:jc w:val="center"/>
              <w:rPr>
                <w:rFonts w:hint="eastAsia" w:ascii="宋体" w:hAnsi="宋体" w:eastAsia="宋体"/>
                <w:kern w:val="0"/>
                <w:sz w:val="18"/>
                <w:szCs w:val="18"/>
                <w:lang w:eastAsia="zh-CN"/>
              </w:rPr>
            </w:pPr>
            <w:r>
              <w:rPr>
                <w:rFonts w:hint="eastAsia" w:ascii="宋体" w:hAnsi="宋体" w:eastAsia="宋体"/>
                <w:kern w:val="0"/>
                <w:sz w:val="18"/>
                <w:szCs w:val="18"/>
                <w:lang w:val="en-US" w:eastAsia="zh-CN"/>
              </w:rPr>
              <w:t>8</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7BDF3026">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61B32DC8">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567" w:type="dxa"/>
            <w:tcBorders>
              <w:top w:val="nil"/>
              <w:left w:val="nil"/>
              <w:bottom w:val="single" w:color="auto" w:sz="4" w:space="0"/>
              <w:right w:val="single" w:color="auto" w:sz="4" w:space="0"/>
              <w:tl2br w:val="nil"/>
              <w:tr2bl w:val="nil"/>
            </w:tcBorders>
            <w:shd w:val="clear" w:color="auto" w:fill="FFFFFF"/>
            <w:vAlign w:val="center"/>
          </w:tcPr>
          <w:p w14:paraId="0D8542CD">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1164" w:type="dxa"/>
            <w:vMerge w:val="continue"/>
            <w:tcBorders>
              <w:top w:val="nil"/>
              <w:left w:val="nil"/>
              <w:bottom w:val="single" w:color="auto" w:sz="4" w:space="0"/>
              <w:right w:val="single" w:color="auto" w:sz="4" w:space="0"/>
              <w:tl2br w:val="nil"/>
              <w:tr2bl w:val="nil"/>
            </w:tcBorders>
            <w:vAlign w:val="center"/>
          </w:tcPr>
          <w:p w14:paraId="12003FE0">
            <w:pPr>
              <w:widowControl/>
              <w:rPr>
                <w:rFonts w:ascii="宋体" w:hAnsi="宋体" w:eastAsia="宋体"/>
                <w:kern w:val="0"/>
                <w:sz w:val="18"/>
                <w:szCs w:val="18"/>
              </w:rPr>
            </w:pPr>
          </w:p>
        </w:tc>
      </w:tr>
      <w:tr w14:paraId="1E8E6016">
        <w:tblPrEx>
          <w:tblCellMar>
            <w:top w:w="0" w:type="dxa"/>
            <w:left w:w="108" w:type="dxa"/>
            <w:bottom w:w="0" w:type="dxa"/>
            <w:right w:w="108" w:type="dxa"/>
          </w:tblCellMar>
        </w:tblPrEx>
        <w:trPr>
          <w:trHeight w:val="284" w:hRule="atLeast"/>
        </w:trPr>
        <w:tc>
          <w:tcPr>
            <w:tcW w:w="680"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14:paraId="50A5770F">
            <w:pPr>
              <w:widowControl/>
              <w:rPr>
                <w:rFonts w:ascii="宋体" w:hAnsi="宋体" w:eastAsia="宋体"/>
                <w:b/>
                <w:kern w:val="0"/>
                <w:sz w:val="18"/>
                <w:szCs w:val="18"/>
              </w:rPr>
            </w:pPr>
          </w:p>
        </w:tc>
        <w:tc>
          <w:tcPr>
            <w:tcW w:w="611" w:type="dxa"/>
            <w:vMerge w:val="continue"/>
            <w:tcBorders>
              <w:top w:val="nil"/>
              <w:left w:val="nil"/>
              <w:bottom w:val="single" w:color="auto" w:sz="4" w:space="0"/>
              <w:right w:val="single" w:color="auto" w:sz="4" w:space="0"/>
              <w:tl2br w:val="nil"/>
              <w:tr2bl w:val="nil"/>
            </w:tcBorders>
            <w:shd w:val="clear" w:color="auto" w:fill="auto"/>
            <w:vAlign w:val="center"/>
          </w:tcPr>
          <w:p w14:paraId="3FF19D2B">
            <w:pPr>
              <w:widowControl/>
              <w:rPr>
                <w:rFonts w:ascii="宋体" w:hAnsi="宋体" w:eastAsia="宋体"/>
                <w:b/>
                <w:kern w:val="0"/>
                <w:sz w:val="18"/>
                <w:szCs w:val="18"/>
              </w:rPr>
            </w:pPr>
          </w:p>
        </w:tc>
        <w:tc>
          <w:tcPr>
            <w:tcW w:w="1185" w:type="dxa"/>
            <w:tcBorders>
              <w:top w:val="nil"/>
              <w:left w:val="nil"/>
              <w:bottom w:val="single" w:color="auto" w:sz="4" w:space="0"/>
              <w:right w:val="single" w:color="auto" w:sz="4" w:space="0"/>
              <w:tl2br w:val="nil"/>
              <w:tr2bl w:val="nil"/>
            </w:tcBorders>
            <w:shd w:val="clear" w:color="auto" w:fill="FFFFFF"/>
            <w:vAlign w:val="center"/>
          </w:tcPr>
          <w:p w14:paraId="3017AE17">
            <w:pPr>
              <w:widowControl/>
              <w:jc w:val="center"/>
              <w:rPr>
                <w:rFonts w:ascii="宋体" w:hAnsi="宋体" w:eastAsia="宋体"/>
                <w:kern w:val="0"/>
                <w:sz w:val="18"/>
                <w:szCs w:val="18"/>
              </w:rPr>
            </w:pPr>
            <w:r>
              <w:rPr>
                <w:rFonts w:hint="eastAsia" w:ascii="宋体" w:hAnsi="宋体" w:eastAsia="宋体"/>
                <w:kern w:val="0"/>
                <w:sz w:val="18"/>
                <w:szCs w:val="18"/>
              </w:rPr>
              <w:t>4</w:t>
            </w:r>
          </w:p>
        </w:tc>
        <w:tc>
          <w:tcPr>
            <w:tcW w:w="2230" w:type="dxa"/>
            <w:tcBorders>
              <w:top w:val="nil"/>
              <w:left w:val="nil"/>
              <w:bottom w:val="single" w:color="auto" w:sz="4" w:space="0"/>
              <w:right w:val="single" w:color="auto" w:sz="4" w:space="0"/>
              <w:tl2br w:val="nil"/>
              <w:tr2bl w:val="nil"/>
            </w:tcBorders>
            <w:shd w:val="clear" w:color="auto" w:fill="FFFFFF"/>
            <w:vAlign w:val="center"/>
          </w:tcPr>
          <w:p w14:paraId="3ADA48A8">
            <w:pPr>
              <w:widowControl/>
              <w:jc w:val="center"/>
              <w:rPr>
                <w:rFonts w:ascii="宋体" w:hAnsi="宋体" w:eastAsia="宋体"/>
                <w:kern w:val="0"/>
                <w:sz w:val="18"/>
                <w:szCs w:val="18"/>
              </w:rPr>
            </w:pPr>
            <w:r>
              <w:rPr>
                <w:rFonts w:hint="eastAsia" w:ascii="宋体" w:hAnsi="宋体" w:eastAsia="宋体"/>
                <w:kern w:val="0"/>
                <w:sz w:val="18"/>
                <w:szCs w:val="18"/>
              </w:rPr>
              <w:t>统计基础</w:t>
            </w:r>
          </w:p>
        </w:tc>
        <w:tc>
          <w:tcPr>
            <w:tcW w:w="720" w:type="dxa"/>
            <w:tcBorders>
              <w:top w:val="nil"/>
              <w:left w:val="nil"/>
              <w:bottom w:val="single" w:color="auto" w:sz="4" w:space="0"/>
              <w:right w:val="single" w:color="auto" w:sz="4" w:space="0"/>
              <w:tl2br w:val="nil"/>
              <w:tr2bl w:val="nil"/>
            </w:tcBorders>
            <w:shd w:val="clear" w:color="auto" w:fill="FFFFFF"/>
            <w:vAlign w:val="center"/>
          </w:tcPr>
          <w:p w14:paraId="2E5691E6">
            <w:pPr>
              <w:widowControl/>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128</w:t>
            </w:r>
          </w:p>
        </w:tc>
        <w:tc>
          <w:tcPr>
            <w:tcW w:w="685" w:type="dxa"/>
            <w:gridSpan w:val="2"/>
            <w:tcBorders>
              <w:top w:val="nil"/>
              <w:left w:val="nil"/>
              <w:bottom w:val="single" w:color="auto" w:sz="4" w:space="0"/>
              <w:right w:val="single" w:color="auto" w:sz="4" w:space="0"/>
              <w:tl2br w:val="nil"/>
              <w:tr2bl w:val="nil"/>
            </w:tcBorders>
            <w:shd w:val="clear" w:color="auto" w:fill="FFFFFF"/>
            <w:vAlign w:val="center"/>
          </w:tcPr>
          <w:p w14:paraId="1CD7BFF5">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72253231">
            <w:pPr>
              <w:widowControl/>
              <w:jc w:val="center"/>
              <w:rPr>
                <w:rFonts w:hint="eastAsia" w:ascii="宋体" w:hAnsi="宋体" w:eastAsia="宋体"/>
                <w:kern w:val="0"/>
                <w:sz w:val="18"/>
                <w:szCs w:val="18"/>
                <w:lang w:eastAsia="zh-CN"/>
              </w:rPr>
            </w:pPr>
            <w:r>
              <w:rPr>
                <w:rFonts w:hint="eastAsia" w:ascii="宋体" w:hAnsi="宋体" w:eastAsia="宋体"/>
                <w:kern w:val="0"/>
                <w:sz w:val="18"/>
                <w:szCs w:val="18"/>
                <w:lang w:val="en-US" w:eastAsia="zh-CN"/>
              </w:rPr>
              <w:t>8</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4120C27C">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567" w:type="dxa"/>
            <w:tcBorders>
              <w:top w:val="nil"/>
              <w:left w:val="nil"/>
              <w:bottom w:val="nil"/>
              <w:right w:val="single" w:color="auto" w:sz="4" w:space="0"/>
              <w:tl2br w:val="nil"/>
              <w:tr2bl w:val="nil"/>
            </w:tcBorders>
            <w:shd w:val="clear" w:color="auto" w:fill="FFFFFF"/>
            <w:vAlign w:val="center"/>
          </w:tcPr>
          <w:p w14:paraId="364E392E">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1164" w:type="dxa"/>
            <w:vMerge w:val="continue"/>
            <w:tcBorders>
              <w:top w:val="nil"/>
              <w:left w:val="nil"/>
              <w:bottom w:val="single" w:color="auto" w:sz="4" w:space="0"/>
              <w:right w:val="single" w:color="auto" w:sz="4" w:space="0"/>
              <w:tl2br w:val="nil"/>
              <w:tr2bl w:val="nil"/>
            </w:tcBorders>
            <w:vAlign w:val="center"/>
          </w:tcPr>
          <w:p w14:paraId="124ED2A5">
            <w:pPr>
              <w:widowControl/>
              <w:rPr>
                <w:rFonts w:ascii="宋体" w:hAnsi="宋体" w:eastAsia="宋体"/>
                <w:kern w:val="0"/>
                <w:sz w:val="18"/>
                <w:szCs w:val="18"/>
              </w:rPr>
            </w:pPr>
          </w:p>
        </w:tc>
      </w:tr>
      <w:tr w14:paraId="4A47511C">
        <w:tblPrEx>
          <w:tblCellMar>
            <w:top w:w="0" w:type="dxa"/>
            <w:left w:w="108" w:type="dxa"/>
            <w:bottom w:w="0" w:type="dxa"/>
            <w:right w:w="108" w:type="dxa"/>
          </w:tblCellMar>
        </w:tblPrEx>
        <w:trPr>
          <w:trHeight w:val="284" w:hRule="atLeast"/>
        </w:trPr>
        <w:tc>
          <w:tcPr>
            <w:tcW w:w="680"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14:paraId="33817647">
            <w:pPr>
              <w:widowControl/>
              <w:rPr>
                <w:rFonts w:ascii="宋体" w:hAnsi="宋体" w:eastAsia="宋体"/>
                <w:b/>
                <w:kern w:val="0"/>
                <w:sz w:val="18"/>
                <w:szCs w:val="18"/>
              </w:rPr>
            </w:pPr>
          </w:p>
        </w:tc>
        <w:tc>
          <w:tcPr>
            <w:tcW w:w="611" w:type="dxa"/>
            <w:vMerge w:val="continue"/>
            <w:tcBorders>
              <w:top w:val="nil"/>
              <w:left w:val="nil"/>
              <w:bottom w:val="single" w:color="auto" w:sz="4" w:space="0"/>
              <w:right w:val="single" w:color="auto" w:sz="4" w:space="0"/>
              <w:tl2br w:val="nil"/>
              <w:tr2bl w:val="nil"/>
            </w:tcBorders>
            <w:shd w:val="clear" w:color="auto" w:fill="auto"/>
            <w:vAlign w:val="center"/>
          </w:tcPr>
          <w:p w14:paraId="47ED1958">
            <w:pPr>
              <w:widowControl/>
              <w:rPr>
                <w:rFonts w:ascii="宋体" w:hAnsi="宋体" w:eastAsia="宋体"/>
                <w:b/>
                <w:kern w:val="0"/>
                <w:sz w:val="18"/>
                <w:szCs w:val="18"/>
              </w:rPr>
            </w:pPr>
          </w:p>
        </w:tc>
        <w:tc>
          <w:tcPr>
            <w:tcW w:w="3415" w:type="dxa"/>
            <w:gridSpan w:val="2"/>
            <w:tcBorders>
              <w:top w:val="single" w:color="auto" w:sz="4" w:space="0"/>
              <w:left w:val="nil"/>
              <w:bottom w:val="single" w:color="auto" w:sz="4" w:space="0"/>
              <w:right w:val="single" w:color="auto" w:sz="4" w:space="0"/>
              <w:tl2br w:val="nil"/>
              <w:tr2bl w:val="nil"/>
            </w:tcBorders>
            <w:shd w:val="clear" w:color="auto" w:fill="FFFFFF"/>
            <w:vAlign w:val="center"/>
          </w:tcPr>
          <w:p w14:paraId="0B092A62">
            <w:pPr>
              <w:widowControl/>
              <w:jc w:val="center"/>
              <w:rPr>
                <w:rFonts w:ascii="宋体" w:hAnsi="宋体" w:eastAsia="宋体"/>
                <w:kern w:val="0"/>
                <w:sz w:val="18"/>
                <w:szCs w:val="18"/>
              </w:rPr>
            </w:pPr>
            <w:r>
              <w:rPr>
                <w:rFonts w:hint="eastAsia" w:ascii="宋体" w:hAnsi="宋体" w:eastAsia="宋体"/>
                <w:kern w:val="0"/>
                <w:sz w:val="18"/>
                <w:szCs w:val="18"/>
              </w:rPr>
              <w:t>小计</w:t>
            </w:r>
          </w:p>
        </w:tc>
        <w:tc>
          <w:tcPr>
            <w:tcW w:w="720" w:type="dxa"/>
            <w:tcBorders>
              <w:top w:val="nil"/>
              <w:left w:val="nil"/>
              <w:bottom w:val="single" w:color="auto" w:sz="4" w:space="0"/>
              <w:right w:val="single" w:color="auto" w:sz="4" w:space="0"/>
              <w:tl2br w:val="nil"/>
              <w:tr2bl w:val="nil"/>
            </w:tcBorders>
            <w:shd w:val="clear" w:color="auto" w:fill="FFFFFF"/>
            <w:vAlign w:val="center"/>
          </w:tcPr>
          <w:p w14:paraId="752FF0C5">
            <w:pPr>
              <w:widowControl/>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672</w:t>
            </w:r>
          </w:p>
        </w:tc>
        <w:tc>
          <w:tcPr>
            <w:tcW w:w="685" w:type="dxa"/>
            <w:gridSpan w:val="2"/>
            <w:tcBorders>
              <w:top w:val="nil"/>
              <w:left w:val="nil"/>
              <w:bottom w:val="single" w:color="auto" w:sz="4" w:space="0"/>
              <w:right w:val="single" w:color="auto" w:sz="4" w:space="0"/>
              <w:tl2br w:val="nil"/>
              <w:tr2bl w:val="nil"/>
            </w:tcBorders>
            <w:shd w:val="clear" w:color="auto" w:fill="FFFFFF"/>
            <w:vAlign w:val="center"/>
          </w:tcPr>
          <w:p w14:paraId="10F1384A">
            <w:pPr>
              <w:widowControl/>
              <w:jc w:val="center"/>
              <w:rPr>
                <w:rFonts w:ascii="宋体" w:hAnsi="宋体" w:eastAsia="宋体"/>
                <w:kern w:val="0"/>
                <w:sz w:val="18"/>
                <w:szCs w:val="18"/>
              </w:rPr>
            </w:pPr>
            <w:r>
              <w:rPr>
                <w:rFonts w:hint="eastAsia" w:ascii="宋体" w:hAnsi="宋体" w:eastAsia="宋体"/>
                <w:kern w:val="0"/>
                <w:sz w:val="18"/>
                <w:szCs w:val="18"/>
              </w:rPr>
              <w:t>14</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23DF74E6">
            <w:pPr>
              <w:widowControl/>
              <w:jc w:val="center"/>
              <w:rPr>
                <w:rFonts w:ascii="宋体" w:hAnsi="宋体" w:eastAsia="宋体"/>
                <w:kern w:val="0"/>
                <w:sz w:val="18"/>
                <w:szCs w:val="18"/>
              </w:rPr>
            </w:pPr>
            <w:r>
              <w:rPr>
                <w:rFonts w:hint="eastAsia" w:ascii="宋体" w:hAnsi="宋体" w:eastAsia="宋体"/>
                <w:kern w:val="0"/>
                <w:sz w:val="18"/>
                <w:szCs w:val="18"/>
              </w:rPr>
              <w:t>12</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26DE3C5F">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567" w:type="dxa"/>
            <w:tcBorders>
              <w:top w:val="nil"/>
              <w:left w:val="nil"/>
              <w:bottom w:val="single" w:color="auto" w:sz="4" w:space="0"/>
              <w:right w:val="single" w:color="auto" w:sz="4" w:space="0"/>
              <w:tl2br w:val="nil"/>
              <w:tr2bl w:val="nil"/>
            </w:tcBorders>
            <w:shd w:val="clear" w:color="auto" w:fill="FFFFFF"/>
            <w:vAlign w:val="center"/>
          </w:tcPr>
          <w:p w14:paraId="66B881CA">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1164" w:type="dxa"/>
            <w:vMerge w:val="continue"/>
            <w:tcBorders>
              <w:top w:val="nil"/>
              <w:left w:val="nil"/>
              <w:bottom w:val="single" w:color="auto" w:sz="4" w:space="0"/>
              <w:right w:val="single" w:color="auto" w:sz="4" w:space="0"/>
              <w:tl2br w:val="nil"/>
              <w:tr2bl w:val="nil"/>
            </w:tcBorders>
            <w:vAlign w:val="center"/>
          </w:tcPr>
          <w:p w14:paraId="2265C206">
            <w:pPr>
              <w:widowControl/>
              <w:rPr>
                <w:rFonts w:ascii="宋体" w:hAnsi="宋体" w:eastAsia="宋体"/>
                <w:kern w:val="0"/>
                <w:sz w:val="18"/>
                <w:szCs w:val="18"/>
              </w:rPr>
            </w:pPr>
          </w:p>
        </w:tc>
      </w:tr>
      <w:tr w14:paraId="4EB73195">
        <w:tblPrEx>
          <w:tblCellMar>
            <w:top w:w="0" w:type="dxa"/>
            <w:left w:w="108" w:type="dxa"/>
            <w:bottom w:w="0" w:type="dxa"/>
            <w:right w:w="108" w:type="dxa"/>
          </w:tblCellMar>
        </w:tblPrEx>
        <w:trPr>
          <w:trHeight w:val="284" w:hRule="atLeast"/>
        </w:trPr>
        <w:tc>
          <w:tcPr>
            <w:tcW w:w="680"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14:paraId="3A269349">
            <w:pPr>
              <w:widowControl/>
              <w:rPr>
                <w:rFonts w:ascii="宋体" w:hAnsi="宋体" w:eastAsia="宋体"/>
                <w:b/>
                <w:kern w:val="0"/>
                <w:sz w:val="18"/>
                <w:szCs w:val="18"/>
              </w:rPr>
            </w:pPr>
          </w:p>
        </w:tc>
        <w:tc>
          <w:tcPr>
            <w:tcW w:w="611" w:type="dxa"/>
            <w:vMerge w:val="restart"/>
            <w:tcBorders>
              <w:top w:val="nil"/>
              <w:left w:val="nil"/>
              <w:bottom w:val="single" w:color="auto" w:sz="4" w:space="0"/>
              <w:right w:val="single" w:color="auto" w:sz="4" w:space="0"/>
              <w:tl2br w:val="nil"/>
              <w:tr2bl w:val="nil"/>
            </w:tcBorders>
            <w:shd w:val="clear" w:color="auto" w:fill="FFFFFF"/>
            <w:vAlign w:val="center"/>
          </w:tcPr>
          <w:p w14:paraId="58D53596">
            <w:pPr>
              <w:widowControl/>
              <w:jc w:val="center"/>
              <w:rPr>
                <w:rFonts w:ascii="宋体" w:hAnsi="宋体" w:eastAsia="宋体"/>
                <w:b/>
                <w:kern w:val="0"/>
                <w:sz w:val="18"/>
                <w:szCs w:val="18"/>
              </w:rPr>
            </w:pPr>
            <w:r>
              <w:rPr>
                <w:rFonts w:hint="eastAsia" w:ascii="宋体" w:hAnsi="宋体" w:eastAsia="宋体"/>
                <w:b/>
                <w:kern w:val="0"/>
                <w:sz w:val="18"/>
                <w:szCs w:val="18"/>
              </w:rPr>
              <w:t>专业技能课程</w:t>
            </w:r>
          </w:p>
        </w:tc>
        <w:tc>
          <w:tcPr>
            <w:tcW w:w="1185" w:type="dxa"/>
            <w:tcBorders>
              <w:top w:val="nil"/>
              <w:left w:val="nil"/>
              <w:bottom w:val="single" w:color="auto" w:sz="4" w:space="0"/>
              <w:right w:val="single" w:color="auto" w:sz="4" w:space="0"/>
              <w:tl2br w:val="nil"/>
              <w:tr2bl w:val="nil"/>
            </w:tcBorders>
            <w:shd w:val="clear" w:color="auto" w:fill="FFFFFF"/>
            <w:vAlign w:val="center"/>
          </w:tcPr>
          <w:p w14:paraId="53DC4F4A">
            <w:pPr>
              <w:widowControl/>
              <w:jc w:val="center"/>
              <w:rPr>
                <w:rFonts w:ascii="宋体" w:hAnsi="宋体" w:eastAsia="宋体"/>
                <w:kern w:val="0"/>
                <w:sz w:val="18"/>
                <w:szCs w:val="18"/>
              </w:rPr>
            </w:pPr>
            <w:r>
              <w:rPr>
                <w:rFonts w:hint="eastAsia" w:ascii="宋体" w:hAnsi="宋体" w:eastAsia="宋体"/>
                <w:kern w:val="0"/>
                <w:sz w:val="18"/>
                <w:szCs w:val="18"/>
              </w:rPr>
              <w:t>1</w:t>
            </w:r>
          </w:p>
        </w:tc>
        <w:tc>
          <w:tcPr>
            <w:tcW w:w="2230" w:type="dxa"/>
            <w:tcBorders>
              <w:top w:val="nil"/>
              <w:left w:val="nil"/>
              <w:bottom w:val="single" w:color="auto" w:sz="4" w:space="0"/>
              <w:right w:val="single" w:color="auto" w:sz="4" w:space="0"/>
              <w:tl2br w:val="nil"/>
              <w:tr2bl w:val="nil"/>
            </w:tcBorders>
            <w:shd w:val="clear" w:color="auto" w:fill="FFFFFF"/>
            <w:vAlign w:val="center"/>
          </w:tcPr>
          <w:p w14:paraId="127E89CC">
            <w:pPr>
              <w:widowControl/>
              <w:jc w:val="center"/>
              <w:rPr>
                <w:rFonts w:ascii="宋体" w:hAnsi="宋体" w:eastAsia="宋体"/>
                <w:kern w:val="0"/>
                <w:sz w:val="18"/>
                <w:szCs w:val="18"/>
              </w:rPr>
            </w:pPr>
            <w:r>
              <w:rPr>
                <w:rFonts w:hint="eastAsia" w:ascii="宋体" w:hAnsi="宋体" w:eastAsia="宋体"/>
                <w:kern w:val="0"/>
                <w:sz w:val="18"/>
                <w:szCs w:val="18"/>
              </w:rPr>
              <w:t>会计基础技能</w:t>
            </w:r>
          </w:p>
        </w:tc>
        <w:tc>
          <w:tcPr>
            <w:tcW w:w="720" w:type="dxa"/>
            <w:tcBorders>
              <w:top w:val="nil"/>
              <w:left w:val="nil"/>
              <w:bottom w:val="single" w:color="auto" w:sz="4" w:space="0"/>
              <w:right w:val="single" w:color="auto" w:sz="4" w:space="0"/>
              <w:tl2br w:val="nil"/>
              <w:tr2bl w:val="nil"/>
            </w:tcBorders>
            <w:shd w:val="clear" w:color="auto" w:fill="FFFFFF"/>
            <w:vAlign w:val="center"/>
          </w:tcPr>
          <w:p w14:paraId="39999809">
            <w:pPr>
              <w:widowControl/>
              <w:jc w:val="center"/>
              <w:rPr>
                <w:rFonts w:ascii="宋体" w:hAnsi="宋体" w:eastAsia="宋体"/>
                <w:kern w:val="0"/>
                <w:sz w:val="18"/>
                <w:szCs w:val="18"/>
              </w:rPr>
            </w:pPr>
            <w:r>
              <w:rPr>
                <w:rFonts w:hint="eastAsia" w:ascii="宋体" w:hAnsi="宋体" w:eastAsia="宋体"/>
                <w:kern w:val="0"/>
                <w:sz w:val="18"/>
                <w:szCs w:val="18"/>
              </w:rPr>
              <w:t>224</w:t>
            </w:r>
          </w:p>
        </w:tc>
        <w:tc>
          <w:tcPr>
            <w:tcW w:w="685" w:type="dxa"/>
            <w:gridSpan w:val="2"/>
            <w:tcBorders>
              <w:top w:val="nil"/>
              <w:left w:val="nil"/>
              <w:bottom w:val="single" w:color="auto" w:sz="4" w:space="0"/>
              <w:right w:val="single" w:color="auto" w:sz="4" w:space="0"/>
              <w:tl2br w:val="nil"/>
              <w:tr2bl w:val="nil"/>
            </w:tcBorders>
            <w:shd w:val="clear" w:color="auto" w:fill="FFFFFF"/>
            <w:vAlign w:val="center"/>
          </w:tcPr>
          <w:p w14:paraId="60C2E7B6">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656B4CED">
            <w:pPr>
              <w:widowControl/>
              <w:jc w:val="center"/>
              <w:rPr>
                <w:rFonts w:ascii="宋体" w:hAnsi="宋体" w:eastAsia="宋体"/>
                <w:kern w:val="0"/>
                <w:sz w:val="18"/>
                <w:szCs w:val="18"/>
              </w:rPr>
            </w:pPr>
            <w:r>
              <w:rPr>
                <w:rFonts w:hint="eastAsia" w:ascii="宋体" w:hAnsi="宋体" w:eastAsia="宋体"/>
                <w:kern w:val="0"/>
                <w:sz w:val="18"/>
                <w:szCs w:val="18"/>
              </w:rPr>
              <w:t>6</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4F983E65">
            <w:pPr>
              <w:widowControl/>
              <w:jc w:val="center"/>
              <w:rPr>
                <w:rFonts w:ascii="宋体" w:hAnsi="宋体" w:eastAsia="宋体"/>
                <w:kern w:val="0"/>
                <w:sz w:val="18"/>
                <w:szCs w:val="18"/>
              </w:rPr>
            </w:pPr>
            <w:r>
              <w:rPr>
                <w:rFonts w:hint="eastAsia" w:ascii="宋体" w:hAnsi="宋体" w:eastAsia="宋体"/>
                <w:kern w:val="0"/>
                <w:sz w:val="18"/>
                <w:szCs w:val="18"/>
              </w:rPr>
              <w:t>8</w:t>
            </w:r>
          </w:p>
        </w:tc>
        <w:tc>
          <w:tcPr>
            <w:tcW w:w="567" w:type="dxa"/>
            <w:tcBorders>
              <w:top w:val="nil"/>
              <w:left w:val="nil"/>
              <w:bottom w:val="single" w:color="auto" w:sz="4" w:space="0"/>
              <w:right w:val="single" w:color="auto" w:sz="4" w:space="0"/>
              <w:tl2br w:val="nil"/>
              <w:tr2bl w:val="nil"/>
            </w:tcBorders>
            <w:shd w:val="clear" w:color="auto" w:fill="FFFFFF"/>
            <w:vAlign w:val="center"/>
          </w:tcPr>
          <w:p w14:paraId="554FECCC">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1164" w:type="dxa"/>
            <w:vMerge w:val="continue"/>
            <w:tcBorders>
              <w:top w:val="nil"/>
              <w:left w:val="nil"/>
              <w:bottom w:val="single" w:color="auto" w:sz="4" w:space="0"/>
              <w:right w:val="single" w:color="auto" w:sz="4" w:space="0"/>
              <w:tl2br w:val="nil"/>
              <w:tr2bl w:val="nil"/>
            </w:tcBorders>
            <w:vAlign w:val="center"/>
          </w:tcPr>
          <w:p w14:paraId="635013EC">
            <w:pPr>
              <w:widowControl/>
              <w:rPr>
                <w:rFonts w:ascii="宋体" w:hAnsi="宋体" w:eastAsia="宋体"/>
                <w:kern w:val="0"/>
                <w:sz w:val="18"/>
                <w:szCs w:val="18"/>
              </w:rPr>
            </w:pPr>
          </w:p>
        </w:tc>
      </w:tr>
      <w:tr w14:paraId="5A7BB6E3">
        <w:tblPrEx>
          <w:tblCellMar>
            <w:top w:w="0" w:type="dxa"/>
            <w:left w:w="108" w:type="dxa"/>
            <w:bottom w:w="0" w:type="dxa"/>
            <w:right w:w="108" w:type="dxa"/>
          </w:tblCellMar>
        </w:tblPrEx>
        <w:trPr>
          <w:trHeight w:val="284" w:hRule="atLeast"/>
        </w:trPr>
        <w:tc>
          <w:tcPr>
            <w:tcW w:w="680"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14:paraId="59F6379F">
            <w:pPr>
              <w:widowControl/>
              <w:rPr>
                <w:rFonts w:ascii="宋体" w:hAnsi="宋体" w:eastAsia="宋体"/>
                <w:b/>
                <w:kern w:val="0"/>
                <w:sz w:val="18"/>
                <w:szCs w:val="18"/>
              </w:rPr>
            </w:pPr>
          </w:p>
        </w:tc>
        <w:tc>
          <w:tcPr>
            <w:tcW w:w="611" w:type="dxa"/>
            <w:vMerge w:val="continue"/>
            <w:tcBorders>
              <w:top w:val="nil"/>
              <w:left w:val="nil"/>
              <w:bottom w:val="single" w:color="auto" w:sz="4" w:space="0"/>
              <w:right w:val="single" w:color="auto" w:sz="4" w:space="0"/>
              <w:tl2br w:val="nil"/>
              <w:tr2bl w:val="nil"/>
            </w:tcBorders>
            <w:shd w:val="clear" w:color="auto" w:fill="auto"/>
            <w:vAlign w:val="center"/>
          </w:tcPr>
          <w:p w14:paraId="4A8B4803">
            <w:pPr>
              <w:widowControl/>
              <w:rPr>
                <w:rFonts w:ascii="宋体" w:hAnsi="宋体" w:eastAsia="宋体"/>
                <w:b/>
                <w:kern w:val="0"/>
                <w:sz w:val="18"/>
                <w:szCs w:val="18"/>
              </w:rPr>
            </w:pPr>
          </w:p>
        </w:tc>
        <w:tc>
          <w:tcPr>
            <w:tcW w:w="1185" w:type="dxa"/>
            <w:tcBorders>
              <w:top w:val="nil"/>
              <w:left w:val="nil"/>
              <w:bottom w:val="single" w:color="auto" w:sz="4" w:space="0"/>
              <w:right w:val="single" w:color="auto" w:sz="4" w:space="0"/>
              <w:tl2br w:val="nil"/>
              <w:tr2bl w:val="nil"/>
            </w:tcBorders>
            <w:shd w:val="clear" w:color="auto" w:fill="FFFFFF"/>
            <w:vAlign w:val="center"/>
          </w:tcPr>
          <w:p w14:paraId="376B51E4">
            <w:pPr>
              <w:widowControl/>
              <w:jc w:val="center"/>
              <w:rPr>
                <w:rFonts w:ascii="宋体" w:hAnsi="宋体" w:eastAsia="宋体"/>
                <w:kern w:val="0"/>
                <w:sz w:val="18"/>
                <w:szCs w:val="18"/>
              </w:rPr>
            </w:pPr>
            <w:r>
              <w:rPr>
                <w:rFonts w:hint="eastAsia" w:ascii="宋体" w:hAnsi="宋体" w:eastAsia="宋体"/>
                <w:kern w:val="0"/>
                <w:sz w:val="18"/>
                <w:szCs w:val="18"/>
              </w:rPr>
              <w:t>2</w:t>
            </w:r>
          </w:p>
        </w:tc>
        <w:tc>
          <w:tcPr>
            <w:tcW w:w="2230" w:type="dxa"/>
            <w:tcBorders>
              <w:top w:val="nil"/>
              <w:left w:val="nil"/>
              <w:bottom w:val="single" w:color="auto" w:sz="4" w:space="0"/>
              <w:right w:val="single" w:color="auto" w:sz="4" w:space="0"/>
              <w:tl2br w:val="nil"/>
              <w:tr2bl w:val="nil"/>
            </w:tcBorders>
            <w:shd w:val="clear" w:color="auto" w:fill="FFFFFF"/>
            <w:vAlign w:val="center"/>
          </w:tcPr>
          <w:p w14:paraId="5D2846AD">
            <w:pPr>
              <w:widowControl/>
              <w:jc w:val="center"/>
              <w:rPr>
                <w:rFonts w:ascii="宋体" w:hAnsi="宋体" w:eastAsia="宋体"/>
                <w:kern w:val="0"/>
                <w:sz w:val="18"/>
                <w:szCs w:val="18"/>
              </w:rPr>
            </w:pPr>
            <w:r>
              <w:rPr>
                <w:rFonts w:hint="eastAsia" w:ascii="宋体" w:hAnsi="宋体" w:eastAsia="宋体"/>
                <w:kern w:val="0"/>
                <w:sz w:val="18"/>
                <w:szCs w:val="18"/>
              </w:rPr>
              <w:t>会计电算化</w:t>
            </w:r>
          </w:p>
        </w:tc>
        <w:tc>
          <w:tcPr>
            <w:tcW w:w="720" w:type="dxa"/>
            <w:tcBorders>
              <w:top w:val="nil"/>
              <w:left w:val="nil"/>
              <w:bottom w:val="single" w:color="auto" w:sz="4" w:space="0"/>
              <w:right w:val="single" w:color="auto" w:sz="4" w:space="0"/>
              <w:tl2br w:val="nil"/>
              <w:tr2bl w:val="nil"/>
            </w:tcBorders>
            <w:shd w:val="clear" w:color="auto" w:fill="FFFFFF"/>
            <w:vAlign w:val="center"/>
          </w:tcPr>
          <w:p w14:paraId="133DFAB3">
            <w:pPr>
              <w:widowControl/>
              <w:jc w:val="center"/>
              <w:rPr>
                <w:rFonts w:ascii="宋体" w:hAnsi="宋体" w:eastAsia="宋体"/>
                <w:kern w:val="0"/>
                <w:sz w:val="18"/>
                <w:szCs w:val="18"/>
              </w:rPr>
            </w:pPr>
            <w:r>
              <w:rPr>
                <w:rFonts w:hint="eastAsia" w:ascii="宋体" w:hAnsi="宋体" w:eastAsia="宋体"/>
                <w:kern w:val="0"/>
                <w:sz w:val="18"/>
                <w:szCs w:val="18"/>
              </w:rPr>
              <w:t>160</w:t>
            </w:r>
          </w:p>
        </w:tc>
        <w:tc>
          <w:tcPr>
            <w:tcW w:w="685" w:type="dxa"/>
            <w:gridSpan w:val="2"/>
            <w:tcBorders>
              <w:top w:val="nil"/>
              <w:left w:val="nil"/>
              <w:bottom w:val="single" w:color="auto" w:sz="4" w:space="0"/>
              <w:right w:val="single" w:color="auto" w:sz="4" w:space="0"/>
              <w:tl2br w:val="nil"/>
              <w:tr2bl w:val="nil"/>
            </w:tcBorders>
            <w:shd w:val="clear" w:color="auto" w:fill="FFFFFF"/>
            <w:vAlign w:val="center"/>
          </w:tcPr>
          <w:p w14:paraId="732D4CBA">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6F738283">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6B7565A3">
            <w:pPr>
              <w:widowControl/>
              <w:jc w:val="center"/>
              <w:rPr>
                <w:rFonts w:ascii="宋体" w:hAnsi="宋体" w:eastAsia="宋体"/>
                <w:kern w:val="0"/>
                <w:sz w:val="18"/>
                <w:szCs w:val="18"/>
              </w:rPr>
            </w:pPr>
            <w:r>
              <w:rPr>
                <w:rFonts w:hint="eastAsia" w:ascii="宋体" w:hAnsi="宋体" w:eastAsia="宋体"/>
                <w:kern w:val="0"/>
                <w:sz w:val="18"/>
                <w:szCs w:val="18"/>
              </w:rPr>
              <w:t>6</w:t>
            </w:r>
          </w:p>
        </w:tc>
        <w:tc>
          <w:tcPr>
            <w:tcW w:w="567" w:type="dxa"/>
            <w:tcBorders>
              <w:top w:val="nil"/>
              <w:left w:val="nil"/>
              <w:bottom w:val="single" w:color="auto" w:sz="4" w:space="0"/>
              <w:right w:val="single" w:color="auto" w:sz="4" w:space="0"/>
              <w:tl2br w:val="nil"/>
              <w:tr2bl w:val="nil"/>
            </w:tcBorders>
            <w:shd w:val="clear" w:color="auto" w:fill="FFFFFF"/>
            <w:vAlign w:val="center"/>
          </w:tcPr>
          <w:p w14:paraId="190F9523">
            <w:pPr>
              <w:widowControl/>
              <w:jc w:val="center"/>
              <w:rPr>
                <w:rFonts w:ascii="宋体" w:hAnsi="宋体" w:eastAsia="宋体"/>
                <w:kern w:val="0"/>
                <w:sz w:val="18"/>
                <w:szCs w:val="18"/>
              </w:rPr>
            </w:pPr>
            <w:r>
              <w:rPr>
                <w:rFonts w:hint="eastAsia" w:ascii="宋体" w:hAnsi="宋体" w:eastAsia="宋体"/>
                <w:kern w:val="0"/>
                <w:sz w:val="18"/>
                <w:szCs w:val="18"/>
              </w:rPr>
              <w:t>4</w:t>
            </w:r>
          </w:p>
        </w:tc>
        <w:tc>
          <w:tcPr>
            <w:tcW w:w="1164" w:type="dxa"/>
            <w:vMerge w:val="continue"/>
            <w:tcBorders>
              <w:top w:val="nil"/>
              <w:left w:val="nil"/>
              <w:bottom w:val="single" w:color="auto" w:sz="4" w:space="0"/>
              <w:right w:val="single" w:color="auto" w:sz="4" w:space="0"/>
              <w:tl2br w:val="nil"/>
              <w:tr2bl w:val="nil"/>
            </w:tcBorders>
            <w:vAlign w:val="center"/>
          </w:tcPr>
          <w:p w14:paraId="58281DD2">
            <w:pPr>
              <w:widowControl/>
              <w:rPr>
                <w:rFonts w:ascii="宋体" w:hAnsi="宋体" w:eastAsia="宋体"/>
                <w:kern w:val="0"/>
                <w:sz w:val="18"/>
                <w:szCs w:val="18"/>
              </w:rPr>
            </w:pPr>
          </w:p>
        </w:tc>
      </w:tr>
      <w:tr w14:paraId="24209AEB">
        <w:tblPrEx>
          <w:tblCellMar>
            <w:top w:w="0" w:type="dxa"/>
            <w:left w:w="108" w:type="dxa"/>
            <w:bottom w:w="0" w:type="dxa"/>
            <w:right w:w="108" w:type="dxa"/>
          </w:tblCellMar>
        </w:tblPrEx>
        <w:trPr>
          <w:trHeight w:val="284" w:hRule="atLeast"/>
        </w:trPr>
        <w:tc>
          <w:tcPr>
            <w:tcW w:w="680"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14:paraId="0B548A49">
            <w:pPr>
              <w:widowControl/>
              <w:rPr>
                <w:rFonts w:ascii="宋体" w:hAnsi="宋体" w:eastAsia="宋体"/>
                <w:b/>
                <w:kern w:val="0"/>
                <w:sz w:val="18"/>
                <w:szCs w:val="18"/>
              </w:rPr>
            </w:pPr>
          </w:p>
        </w:tc>
        <w:tc>
          <w:tcPr>
            <w:tcW w:w="611" w:type="dxa"/>
            <w:vMerge w:val="continue"/>
            <w:tcBorders>
              <w:top w:val="nil"/>
              <w:left w:val="nil"/>
              <w:bottom w:val="single" w:color="auto" w:sz="4" w:space="0"/>
              <w:right w:val="single" w:color="auto" w:sz="4" w:space="0"/>
              <w:tl2br w:val="nil"/>
              <w:tr2bl w:val="nil"/>
            </w:tcBorders>
            <w:shd w:val="clear" w:color="auto" w:fill="auto"/>
            <w:vAlign w:val="center"/>
          </w:tcPr>
          <w:p w14:paraId="35DDC60B">
            <w:pPr>
              <w:widowControl/>
              <w:rPr>
                <w:rFonts w:ascii="宋体" w:hAnsi="宋体" w:eastAsia="宋体"/>
                <w:b/>
                <w:kern w:val="0"/>
                <w:sz w:val="18"/>
                <w:szCs w:val="18"/>
              </w:rPr>
            </w:pPr>
          </w:p>
        </w:tc>
        <w:tc>
          <w:tcPr>
            <w:tcW w:w="1185" w:type="dxa"/>
            <w:tcBorders>
              <w:top w:val="nil"/>
              <w:left w:val="nil"/>
              <w:bottom w:val="single" w:color="auto" w:sz="4" w:space="0"/>
              <w:right w:val="single" w:color="auto" w:sz="4" w:space="0"/>
              <w:tl2br w:val="nil"/>
              <w:tr2bl w:val="nil"/>
            </w:tcBorders>
            <w:shd w:val="clear" w:color="auto" w:fill="FFFFFF"/>
            <w:vAlign w:val="center"/>
          </w:tcPr>
          <w:p w14:paraId="0EE525EE">
            <w:pPr>
              <w:widowControl/>
              <w:jc w:val="center"/>
              <w:rPr>
                <w:rFonts w:ascii="宋体" w:hAnsi="宋体" w:eastAsia="宋体"/>
                <w:kern w:val="0"/>
                <w:sz w:val="18"/>
                <w:szCs w:val="18"/>
              </w:rPr>
            </w:pPr>
            <w:r>
              <w:rPr>
                <w:rFonts w:hint="eastAsia" w:ascii="宋体" w:hAnsi="宋体" w:eastAsia="宋体"/>
                <w:kern w:val="0"/>
                <w:sz w:val="18"/>
                <w:szCs w:val="18"/>
              </w:rPr>
              <w:t>3</w:t>
            </w:r>
          </w:p>
        </w:tc>
        <w:tc>
          <w:tcPr>
            <w:tcW w:w="2230" w:type="dxa"/>
            <w:tcBorders>
              <w:top w:val="nil"/>
              <w:left w:val="nil"/>
              <w:bottom w:val="single" w:color="auto" w:sz="4" w:space="0"/>
              <w:right w:val="single" w:color="auto" w:sz="4" w:space="0"/>
              <w:tl2br w:val="nil"/>
              <w:tr2bl w:val="nil"/>
            </w:tcBorders>
            <w:shd w:val="clear" w:color="auto" w:fill="FFFFFF"/>
            <w:vAlign w:val="center"/>
          </w:tcPr>
          <w:p w14:paraId="3834F9F9">
            <w:pPr>
              <w:widowControl/>
              <w:jc w:val="center"/>
              <w:rPr>
                <w:rFonts w:ascii="宋体" w:hAnsi="宋体" w:eastAsia="宋体"/>
                <w:kern w:val="0"/>
                <w:sz w:val="18"/>
                <w:szCs w:val="18"/>
              </w:rPr>
            </w:pPr>
            <w:r>
              <w:rPr>
                <w:rFonts w:hint="eastAsia" w:ascii="宋体" w:hAnsi="宋体" w:eastAsia="宋体"/>
                <w:kern w:val="0"/>
                <w:sz w:val="18"/>
                <w:szCs w:val="18"/>
              </w:rPr>
              <w:t>企业财务会计</w:t>
            </w:r>
          </w:p>
        </w:tc>
        <w:tc>
          <w:tcPr>
            <w:tcW w:w="720" w:type="dxa"/>
            <w:tcBorders>
              <w:top w:val="nil"/>
              <w:left w:val="nil"/>
              <w:bottom w:val="single" w:color="auto" w:sz="4" w:space="0"/>
              <w:right w:val="single" w:color="auto" w:sz="4" w:space="0"/>
              <w:tl2br w:val="nil"/>
              <w:tr2bl w:val="nil"/>
            </w:tcBorders>
            <w:shd w:val="clear" w:color="auto" w:fill="FFFFFF"/>
            <w:vAlign w:val="center"/>
          </w:tcPr>
          <w:p w14:paraId="754776C5">
            <w:pPr>
              <w:widowControl/>
              <w:jc w:val="center"/>
              <w:rPr>
                <w:rFonts w:ascii="宋体" w:hAnsi="宋体" w:eastAsia="宋体"/>
                <w:kern w:val="0"/>
                <w:sz w:val="18"/>
                <w:szCs w:val="18"/>
              </w:rPr>
            </w:pPr>
            <w:r>
              <w:rPr>
                <w:rFonts w:hint="eastAsia" w:ascii="宋体" w:hAnsi="宋体" w:eastAsia="宋体"/>
                <w:kern w:val="0"/>
                <w:sz w:val="18"/>
                <w:szCs w:val="18"/>
              </w:rPr>
              <w:t>192</w:t>
            </w:r>
          </w:p>
        </w:tc>
        <w:tc>
          <w:tcPr>
            <w:tcW w:w="685" w:type="dxa"/>
            <w:gridSpan w:val="2"/>
            <w:tcBorders>
              <w:top w:val="nil"/>
              <w:left w:val="nil"/>
              <w:bottom w:val="single" w:color="auto" w:sz="4" w:space="0"/>
              <w:right w:val="single" w:color="auto" w:sz="4" w:space="0"/>
              <w:tl2br w:val="nil"/>
              <w:tr2bl w:val="nil"/>
            </w:tcBorders>
            <w:shd w:val="clear" w:color="auto" w:fill="FFFFFF"/>
            <w:vAlign w:val="center"/>
          </w:tcPr>
          <w:p w14:paraId="43C64519">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00D9960D">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0F453F01">
            <w:pPr>
              <w:widowControl/>
              <w:jc w:val="center"/>
              <w:rPr>
                <w:rFonts w:ascii="宋体" w:hAnsi="宋体" w:eastAsia="宋体"/>
                <w:kern w:val="0"/>
                <w:sz w:val="18"/>
                <w:szCs w:val="18"/>
              </w:rPr>
            </w:pPr>
            <w:r>
              <w:rPr>
                <w:rFonts w:hint="eastAsia" w:ascii="宋体" w:hAnsi="宋体" w:eastAsia="宋体"/>
                <w:kern w:val="0"/>
                <w:sz w:val="18"/>
                <w:szCs w:val="18"/>
              </w:rPr>
              <w:t>8</w:t>
            </w:r>
          </w:p>
        </w:tc>
        <w:tc>
          <w:tcPr>
            <w:tcW w:w="567" w:type="dxa"/>
            <w:tcBorders>
              <w:top w:val="nil"/>
              <w:left w:val="nil"/>
              <w:bottom w:val="single" w:color="auto" w:sz="4" w:space="0"/>
              <w:right w:val="single" w:color="auto" w:sz="4" w:space="0"/>
              <w:tl2br w:val="nil"/>
              <w:tr2bl w:val="nil"/>
            </w:tcBorders>
            <w:shd w:val="clear" w:color="auto" w:fill="FFFFFF"/>
            <w:vAlign w:val="center"/>
          </w:tcPr>
          <w:p w14:paraId="4476D421">
            <w:pPr>
              <w:widowControl/>
              <w:jc w:val="center"/>
              <w:rPr>
                <w:rFonts w:ascii="宋体" w:hAnsi="宋体" w:eastAsia="宋体"/>
                <w:kern w:val="0"/>
                <w:sz w:val="18"/>
                <w:szCs w:val="18"/>
              </w:rPr>
            </w:pPr>
            <w:r>
              <w:rPr>
                <w:rFonts w:hint="eastAsia" w:ascii="宋体" w:hAnsi="宋体" w:eastAsia="宋体"/>
                <w:kern w:val="0"/>
                <w:sz w:val="18"/>
                <w:szCs w:val="18"/>
              </w:rPr>
              <w:t>4</w:t>
            </w:r>
          </w:p>
        </w:tc>
        <w:tc>
          <w:tcPr>
            <w:tcW w:w="1164" w:type="dxa"/>
            <w:vMerge w:val="continue"/>
            <w:tcBorders>
              <w:top w:val="nil"/>
              <w:left w:val="nil"/>
              <w:bottom w:val="single" w:color="auto" w:sz="4" w:space="0"/>
              <w:right w:val="single" w:color="auto" w:sz="4" w:space="0"/>
              <w:tl2br w:val="nil"/>
              <w:tr2bl w:val="nil"/>
            </w:tcBorders>
            <w:vAlign w:val="center"/>
          </w:tcPr>
          <w:p w14:paraId="092F9FE6">
            <w:pPr>
              <w:widowControl/>
              <w:rPr>
                <w:rFonts w:ascii="宋体" w:hAnsi="宋体" w:eastAsia="宋体"/>
                <w:kern w:val="0"/>
                <w:sz w:val="18"/>
                <w:szCs w:val="18"/>
              </w:rPr>
            </w:pPr>
          </w:p>
        </w:tc>
      </w:tr>
      <w:tr w14:paraId="1E812BE5">
        <w:tblPrEx>
          <w:tblCellMar>
            <w:top w:w="0" w:type="dxa"/>
            <w:left w:w="108" w:type="dxa"/>
            <w:bottom w:w="0" w:type="dxa"/>
            <w:right w:w="108" w:type="dxa"/>
          </w:tblCellMar>
        </w:tblPrEx>
        <w:trPr>
          <w:trHeight w:val="284" w:hRule="atLeast"/>
        </w:trPr>
        <w:tc>
          <w:tcPr>
            <w:tcW w:w="680"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14:paraId="0B47B6C6">
            <w:pPr>
              <w:widowControl/>
              <w:rPr>
                <w:rFonts w:ascii="宋体" w:hAnsi="宋体" w:eastAsia="宋体"/>
                <w:b/>
                <w:kern w:val="0"/>
                <w:sz w:val="18"/>
                <w:szCs w:val="18"/>
              </w:rPr>
            </w:pPr>
          </w:p>
        </w:tc>
        <w:tc>
          <w:tcPr>
            <w:tcW w:w="611" w:type="dxa"/>
            <w:vMerge w:val="continue"/>
            <w:tcBorders>
              <w:top w:val="nil"/>
              <w:left w:val="nil"/>
              <w:bottom w:val="single" w:color="auto" w:sz="4" w:space="0"/>
              <w:right w:val="single" w:color="auto" w:sz="4" w:space="0"/>
              <w:tl2br w:val="nil"/>
              <w:tr2bl w:val="nil"/>
            </w:tcBorders>
            <w:shd w:val="clear" w:color="auto" w:fill="auto"/>
            <w:vAlign w:val="center"/>
          </w:tcPr>
          <w:p w14:paraId="3F7C9A44">
            <w:pPr>
              <w:widowControl/>
              <w:rPr>
                <w:rFonts w:ascii="宋体" w:hAnsi="宋体" w:eastAsia="宋体"/>
                <w:b/>
                <w:kern w:val="0"/>
                <w:sz w:val="18"/>
                <w:szCs w:val="18"/>
              </w:rPr>
            </w:pPr>
          </w:p>
        </w:tc>
        <w:tc>
          <w:tcPr>
            <w:tcW w:w="1185" w:type="dxa"/>
            <w:tcBorders>
              <w:top w:val="nil"/>
              <w:left w:val="nil"/>
              <w:bottom w:val="single" w:color="auto" w:sz="4" w:space="0"/>
              <w:right w:val="single" w:color="auto" w:sz="4" w:space="0"/>
              <w:tl2br w:val="nil"/>
              <w:tr2bl w:val="nil"/>
            </w:tcBorders>
            <w:shd w:val="clear" w:color="auto" w:fill="FFFFFF"/>
            <w:vAlign w:val="center"/>
          </w:tcPr>
          <w:p w14:paraId="7576EDAF">
            <w:pPr>
              <w:widowControl/>
              <w:jc w:val="center"/>
              <w:rPr>
                <w:rFonts w:ascii="宋体" w:hAnsi="宋体" w:eastAsia="宋体"/>
                <w:kern w:val="0"/>
                <w:sz w:val="18"/>
                <w:szCs w:val="18"/>
              </w:rPr>
            </w:pPr>
            <w:r>
              <w:rPr>
                <w:rFonts w:hint="eastAsia" w:ascii="宋体" w:hAnsi="宋体" w:eastAsia="宋体"/>
                <w:kern w:val="0"/>
                <w:sz w:val="18"/>
                <w:szCs w:val="18"/>
              </w:rPr>
              <w:t>4</w:t>
            </w:r>
          </w:p>
        </w:tc>
        <w:tc>
          <w:tcPr>
            <w:tcW w:w="2230" w:type="dxa"/>
            <w:tcBorders>
              <w:top w:val="nil"/>
              <w:left w:val="nil"/>
              <w:bottom w:val="single" w:color="auto" w:sz="4" w:space="0"/>
              <w:right w:val="single" w:color="auto" w:sz="4" w:space="0"/>
              <w:tl2br w:val="nil"/>
              <w:tr2bl w:val="nil"/>
            </w:tcBorders>
            <w:shd w:val="clear" w:color="auto" w:fill="FFFFFF"/>
            <w:vAlign w:val="center"/>
          </w:tcPr>
          <w:p w14:paraId="5BDF1C46">
            <w:pPr>
              <w:widowControl/>
              <w:jc w:val="center"/>
              <w:rPr>
                <w:rFonts w:ascii="宋体" w:hAnsi="宋体" w:eastAsia="宋体"/>
                <w:kern w:val="0"/>
                <w:sz w:val="18"/>
                <w:szCs w:val="18"/>
              </w:rPr>
            </w:pPr>
            <w:r>
              <w:rPr>
                <w:rFonts w:hint="eastAsia" w:ascii="宋体" w:hAnsi="宋体" w:eastAsia="宋体"/>
                <w:kern w:val="0"/>
                <w:sz w:val="18"/>
                <w:szCs w:val="18"/>
              </w:rPr>
              <w:t>出纳会计实务</w:t>
            </w:r>
          </w:p>
        </w:tc>
        <w:tc>
          <w:tcPr>
            <w:tcW w:w="720" w:type="dxa"/>
            <w:tcBorders>
              <w:top w:val="nil"/>
              <w:left w:val="nil"/>
              <w:bottom w:val="single" w:color="auto" w:sz="4" w:space="0"/>
              <w:right w:val="single" w:color="auto" w:sz="4" w:space="0"/>
              <w:tl2br w:val="nil"/>
              <w:tr2bl w:val="nil"/>
            </w:tcBorders>
            <w:shd w:val="clear" w:color="auto" w:fill="FFFFFF"/>
            <w:vAlign w:val="center"/>
          </w:tcPr>
          <w:p w14:paraId="301049CB">
            <w:pPr>
              <w:widowControl/>
              <w:jc w:val="center"/>
              <w:rPr>
                <w:rFonts w:ascii="宋体" w:hAnsi="宋体" w:eastAsia="宋体"/>
                <w:kern w:val="0"/>
                <w:sz w:val="18"/>
                <w:szCs w:val="18"/>
              </w:rPr>
            </w:pPr>
            <w:r>
              <w:rPr>
                <w:rFonts w:hint="eastAsia" w:ascii="宋体" w:hAnsi="宋体" w:eastAsia="宋体"/>
                <w:kern w:val="0"/>
                <w:sz w:val="18"/>
                <w:szCs w:val="18"/>
              </w:rPr>
              <w:t>112</w:t>
            </w:r>
          </w:p>
        </w:tc>
        <w:tc>
          <w:tcPr>
            <w:tcW w:w="685" w:type="dxa"/>
            <w:gridSpan w:val="2"/>
            <w:tcBorders>
              <w:top w:val="nil"/>
              <w:left w:val="nil"/>
              <w:bottom w:val="single" w:color="auto" w:sz="4" w:space="0"/>
              <w:right w:val="single" w:color="auto" w:sz="4" w:space="0"/>
              <w:tl2br w:val="nil"/>
              <w:tr2bl w:val="nil"/>
            </w:tcBorders>
            <w:shd w:val="clear" w:color="auto" w:fill="FFFFFF"/>
            <w:vAlign w:val="center"/>
          </w:tcPr>
          <w:p w14:paraId="43E2FF96">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5DB78692">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223C84AB">
            <w:pPr>
              <w:widowControl/>
              <w:jc w:val="center"/>
              <w:rPr>
                <w:rFonts w:ascii="宋体" w:hAnsi="宋体" w:eastAsia="宋体"/>
                <w:kern w:val="0"/>
                <w:sz w:val="18"/>
                <w:szCs w:val="18"/>
              </w:rPr>
            </w:pPr>
            <w:r>
              <w:rPr>
                <w:rFonts w:hint="eastAsia" w:ascii="宋体" w:hAnsi="宋体" w:eastAsia="宋体"/>
                <w:kern w:val="0"/>
                <w:sz w:val="18"/>
                <w:szCs w:val="18"/>
              </w:rPr>
              <w:t>4</w:t>
            </w:r>
          </w:p>
        </w:tc>
        <w:tc>
          <w:tcPr>
            <w:tcW w:w="567" w:type="dxa"/>
            <w:tcBorders>
              <w:top w:val="nil"/>
              <w:left w:val="nil"/>
              <w:bottom w:val="single" w:color="auto" w:sz="4" w:space="0"/>
              <w:right w:val="single" w:color="auto" w:sz="4" w:space="0"/>
              <w:tl2br w:val="nil"/>
              <w:tr2bl w:val="nil"/>
            </w:tcBorders>
            <w:shd w:val="clear" w:color="auto" w:fill="FFFFFF"/>
            <w:vAlign w:val="center"/>
          </w:tcPr>
          <w:p w14:paraId="376D6D95">
            <w:pPr>
              <w:widowControl/>
              <w:jc w:val="center"/>
              <w:rPr>
                <w:rFonts w:ascii="宋体" w:hAnsi="宋体" w:eastAsia="宋体"/>
                <w:kern w:val="0"/>
                <w:sz w:val="18"/>
                <w:szCs w:val="18"/>
              </w:rPr>
            </w:pPr>
            <w:r>
              <w:rPr>
                <w:rFonts w:hint="eastAsia" w:ascii="宋体" w:hAnsi="宋体" w:eastAsia="宋体"/>
                <w:kern w:val="0"/>
                <w:sz w:val="18"/>
                <w:szCs w:val="18"/>
              </w:rPr>
              <w:t>3</w:t>
            </w:r>
          </w:p>
        </w:tc>
        <w:tc>
          <w:tcPr>
            <w:tcW w:w="1164" w:type="dxa"/>
            <w:vMerge w:val="continue"/>
            <w:tcBorders>
              <w:top w:val="nil"/>
              <w:left w:val="nil"/>
              <w:bottom w:val="single" w:color="auto" w:sz="4" w:space="0"/>
              <w:right w:val="single" w:color="auto" w:sz="4" w:space="0"/>
              <w:tl2br w:val="nil"/>
              <w:tr2bl w:val="nil"/>
            </w:tcBorders>
            <w:vAlign w:val="center"/>
          </w:tcPr>
          <w:p w14:paraId="02295B5F">
            <w:pPr>
              <w:widowControl/>
              <w:rPr>
                <w:rFonts w:ascii="宋体" w:hAnsi="宋体" w:eastAsia="宋体"/>
                <w:kern w:val="0"/>
                <w:sz w:val="18"/>
                <w:szCs w:val="18"/>
              </w:rPr>
            </w:pPr>
          </w:p>
        </w:tc>
      </w:tr>
      <w:tr w14:paraId="3A69B240">
        <w:tblPrEx>
          <w:tblCellMar>
            <w:top w:w="0" w:type="dxa"/>
            <w:left w:w="108" w:type="dxa"/>
            <w:bottom w:w="0" w:type="dxa"/>
            <w:right w:w="108" w:type="dxa"/>
          </w:tblCellMar>
        </w:tblPrEx>
        <w:trPr>
          <w:trHeight w:val="284" w:hRule="atLeast"/>
        </w:trPr>
        <w:tc>
          <w:tcPr>
            <w:tcW w:w="680"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14:paraId="2E0822FA">
            <w:pPr>
              <w:widowControl/>
              <w:rPr>
                <w:rFonts w:ascii="宋体" w:hAnsi="宋体" w:eastAsia="宋体"/>
                <w:b/>
                <w:kern w:val="0"/>
                <w:sz w:val="18"/>
                <w:szCs w:val="18"/>
              </w:rPr>
            </w:pPr>
          </w:p>
        </w:tc>
        <w:tc>
          <w:tcPr>
            <w:tcW w:w="611" w:type="dxa"/>
            <w:vMerge w:val="continue"/>
            <w:tcBorders>
              <w:top w:val="nil"/>
              <w:left w:val="nil"/>
              <w:bottom w:val="single" w:color="auto" w:sz="4" w:space="0"/>
              <w:right w:val="single" w:color="auto" w:sz="4" w:space="0"/>
              <w:tl2br w:val="nil"/>
              <w:tr2bl w:val="nil"/>
            </w:tcBorders>
            <w:shd w:val="clear" w:color="auto" w:fill="auto"/>
            <w:vAlign w:val="center"/>
          </w:tcPr>
          <w:p w14:paraId="043540BE">
            <w:pPr>
              <w:widowControl/>
              <w:rPr>
                <w:rFonts w:ascii="宋体" w:hAnsi="宋体" w:eastAsia="宋体"/>
                <w:b/>
                <w:kern w:val="0"/>
                <w:sz w:val="18"/>
                <w:szCs w:val="18"/>
              </w:rPr>
            </w:pPr>
          </w:p>
        </w:tc>
        <w:tc>
          <w:tcPr>
            <w:tcW w:w="1185" w:type="dxa"/>
            <w:tcBorders>
              <w:top w:val="nil"/>
              <w:left w:val="nil"/>
              <w:bottom w:val="single" w:color="auto" w:sz="4" w:space="0"/>
              <w:right w:val="single" w:color="auto" w:sz="4" w:space="0"/>
              <w:tl2br w:val="nil"/>
              <w:tr2bl w:val="nil"/>
            </w:tcBorders>
            <w:shd w:val="clear" w:color="auto" w:fill="FFFFFF"/>
            <w:vAlign w:val="center"/>
          </w:tcPr>
          <w:p w14:paraId="1FE14AE5">
            <w:pPr>
              <w:widowControl/>
              <w:jc w:val="center"/>
              <w:rPr>
                <w:rFonts w:ascii="宋体" w:hAnsi="宋体" w:eastAsia="宋体"/>
                <w:kern w:val="0"/>
                <w:sz w:val="18"/>
                <w:szCs w:val="18"/>
              </w:rPr>
            </w:pPr>
            <w:r>
              <w:rPr>
                <w:rFonts w:hint="eastAsia" w:ascii="宋体" w:hAnsi="宋体" w:eastAsia="宋体"/>
                <w:kern w:val="0"/>
                <w:sz w:val="18"/>
                <w:szCs w:val="18"/>
              </w:rPr>
              <w:t>5</w:t>
            </w:r>
          </w:p>
        </w:tc>
        <w:tc>
          <w:tcPr>
            <w:tcW w:w="2230" w:type="dxa"/>
            <w:tcBorders>
              <w:top w:val="nil"/>
              <w:left w:val="nil"/>
              <w:bottom w:val="single" w:color="auto" w:sz="4" w:space="0"/>
              <w:right w:val="single" w:color="auto" w:sz="4" w:space="0"/>
              <w:tl2br w:val="nil"/>
              <w:tr2bl w:val="nil"/>
            </w:tcBorders>
            <w:shd w:val="clear" w:color="auto" w:fill="FFFFFF"/>
            <w:vAlign w:val="center"/>
          </w:tcPr>
          <w:p w14:paraId="5ED6C57F">
            <w:pPr>
              <w:widowControl/>
              <w:jc w:val="center"/>
              <w:rPr>
                <w:rFonts w:ascii="宋体" w:hAnsi="宋体" w:eastAsia="宋体"/>
                <w:kern w:val="0"/>
                <w:sz w:val="18"/>
                <w:szCs w:val="18"/>
              </w:rPr>
            </w:pPr>
            <w:r>
              <w:rPr>
                <w:rFonts w:hint="eastAsia" w:ascii="宋体" w:hAnsi="宋体" w:eastAsia="宋体"/>
                <w:kern w:val="0"/>
                <w:sz w:val="18"/>
                <w:szCs w:val="18"/>
              </w:rPr>
              <w:t>会计综合实训</w:t>
            </w:r>
          </w:p>
        </w:tc>
        <w:tc>
          <w:tcPr>
            <w:tcW w:w="720" w:type="dxa"/>
            <w:tcBorders>
              <w:top w:val="nil"/>
              <w:left w:val="nil"/>
              <w:bottom w:val="single" w:color="auto" w:sz="4" w:space="0"/>
              <w:right w:val="single" w:color="auto" w:sz="4" w:space="0"/>
              <w:tl2br w:val="nil"/>
              <w:tr2bl w:val="nil"/>
            </w:tcBorders>
            <w:shd w:val="clear" w:color="auto" w:fill="FFFFFF"/>
            <w:vAlign w:val="center"/>
          </w:tcPr>
          <w:p w14:paraId="3F6A01E5">
            <w:pPr>
              <w:widowControl/>
              <w:jc w:val="center"/>
              <w:rPr>
                <w:rFonts w:ascii="宋体" w:hAnsi="宋体" w:eastAsia="宋体"/>
                <w:kern w:val="0"/>
                <w:sz w:val="18"/>
                <w:szCs w:val="18"/>
              </w:rPr>
            </w:pPr>
            <w:r>
              <w:rPr>
                <w:rFonts w:hint="eastAsia" w:ascii="宋体" w:hAnsi="宋体" w:eastAsia="宋体"/>
                <w:kern w:val="0"/>
                <w:sz w:val="18"/>
                <w:szCs w:val="18"/>
              </w:rPr>
              <w:t>96</w:t>
            </w:r>
          </w:p>
        </w:tc>
        <w:tc>
          <w:tcPr>
            <w:tcW w:w="685" w:type="dxa"/>
            <w:gridSpan w:val="2"/>
            <w:tcBorders>
              <w:top w:val="nil"/>
              <w:left w:val="nil"/>
              <w:bottom w:val="single" w:color="auto" w:sz="4" w:space="0"/>
              <w:right w:val="single" w:color="auto" w:sz="4" w:space="0"/>
              <w:tl2br w:val="nil"/>
              <w:tr2bl w:val="nil"/>
            </w:tcBorders>
            <w:shd w:val="clear" w:color="auto" w:fill="FFFFFF"/>
            <w:vAlign w:val="center"/>
          </w:tcPr>
          <w:p w14:paraId="7ED58E47">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27546058">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079AC7BB">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567" w:type="dxa"/>
            <w:tcBorders>
              <w:top w:val="nil"/>
              <w:left w:val="nil"/>
              <w:bottom w:val="nil"/>
              <w:right w:val="single" w:color="auto" w:sz="4" w:space="0"/>
              <w:tl2br w:val="nil"/>
              <w:tr2bl w:val="nil"/>
            </w:tcBorders>
            <w:shd w:val="clear" w:color="auto" w:fill="FFFFFF"/>
            <w:vAlign w:val="center"/>
          </w:tcPr>
          <w:p w14:paraId="70296D7F">
            <w:pPr>
              <w:widowControl/>
              <w:jc w:val="center"/>
              <w:rPr>
                <w:rFonts w:ascii="宋体" w:hAnsi="宋体" w:eastAsia="宋体"/>
                <w:kern w:val="0"/>
                <w:sz w:val="18"/>
                <w:szCs w:val="18"/>
              </w:rPr>
            </w:pPr>
            <w:r>
              <w:rPr>
                <w:rFonts w:hint="eastAsia" w:ascii="宋体" w:hAnsi="宋体" w:eastAsia="宋体"/>
                <w:kern w:val="0"/>
                <w:sz w:val="18"/>
                <w:szCs w:val="18"/>
              </w:rPr>
              <w:t>6</w:t>
            </w:r>
          </w:p>
        </w:tc>
        <w:tc>
          <w:tcPr>
            <w:tcW w:w="1164" w:type="dxa"/>
            <w:vMerge w:val="continue"/>
            <w:tcBorders>
              <w:top w:val="nil"/>
              <w:left w:val="nil"/>
              <w:bottom w:val="single" w:color="auto" w:sz="4" w:space="0"/>
              <w:right w:val="single" w:color="auto" w:sz="4" w:space="0"/>
              <w:tl2br w:val="nil"/>
              <w:tr2bl w:val="nil"/>
            </w:tcBorders>
            <w:vAlign w:val="center"/>
          </w:tcPr>
          <w:p w14:paraId="23667A9F">
            <w:pPr>
              <w:widowControl/>
              <w:rPr>
                <w:rFonts w:ascii="宋体" w:hAnsi="宋体" w:eastAsia="宋体"/>
                <w:kern w:val="0"/>
                <w:sz w:val="18"/>
                <w:szCs w:val="18"/>
              </w:rPr>
            </w:pPr>
          </w:p>
        </w:tc>
      </w:tr>
      <w:tr w14:paraId="3774CA9F">
        <w:tblPrEx>
          <w:tblCellMar>
            <w:top w:w="0" w:type="dxa"/>
            <w:left w:w="108" w:type="dxa"/>
            <w:bottom w:w="0" w:type="dxa"/>
            <w:right w:w="108" w:type="dxa"/>
          </w:tblCellMar>
        </w:tblPrEx>
        <w:trPr>
          <w:trHeight w:val="284" w:hRule="atLeast"/>
        </w:trPr>
        <w:tc>
          <w:tcPr>
            <w:tcW w:w="680"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14:paraId="1868BA38">
            <w:pPr>
              <w:widowControl/>
              <w:rPr>
                <w:rFonts w:ascii="宋体" w:hAnsi="宋体" w:eastAsia="宋体"/>
                <w:b/>
                <w:kern w:val="0"/>
                <w:sz w:val="18"/>
                <w:szCs w:val="18"/>
              </w:rPr>
            </w:pPr>
          </w:p>
        </w:tc>
        <w:tc>
          <w:tcPr>
            <w:tcW w:w="611" w:type="dxa"/>
            <w:vMerge w:val="continue"/>
            <w:tcBorders>
              <w:top w:val="nil"/>
              <w:left w:val="nil"/>
              <w:bottom w:val="single" w:color="auto" w:sz="4" w:space="0"/>
              <w:right w:val="single" w:color="auto" w:sz="4" w:space="0"/>
              <w:tl2br w:val="nil"/>
              <w:tr2bl w:val="nil"/>
            </w:tcBorders>
            <w:shd w:val="clear" w:color="auto" w:fill="auto"/>
            <w:vAlign w:val="center"/>
          </w:tcPr>
          <w:p w14:paraId="42B60C80">
            <w:pPr>
              <w:widowControl/>
              <w:rPr>
                <w:rFonts w:ascii="宋体" w:hAnsi="宋体" w:eastAsia="宋体"/>
                <w:b/>
                <w:kern w:val="0"/>
                <w:sz w:val="18"/>
                <w:szCs w:val="18"/>
              </w:rPr>
            </w:pPr>
          </w:p>
        </w:tc>
        <w:tc>
          <w:tcPr>
            <w:tcW w:w="3415" w:type="dxa"/>
            <w:gridSpan w:val="2"/>
            <w:tcBorders>
              <w:top w:val="single" w:color="auto" w:sz="4" w:space="0"/>
              <w:left w:val="nil"/>
              <w:bottom w:val="single" w:color="auto" w:sz="4" w:space="0"/>
              <w:right w:val="single" w:color="auto" w:sz="4" w:space="0"/>
              <w:tl2br w:val="nil"/>
              <w:tr2bl w:val="nil"/>
            </w:tcBorders>
            <w:shd w:val="clear" w:color="auto" w:fill="FFFFFF"/>
            <w:vAlign w:val="center"/>
          </w:tcPr>
          <w:p w14:paraId="4F145F9A">
            <w:pPr>
              <w:widowControl/>
              <w:jc w:val="center"/>
              <w:rPr>
                <w:rFonts w:ascii="宋体" w:hAnsi="宋体" w:eastAsia="宋体"/>
                <w:kern w:val="0"/>
                <w:sz w:val="18"/>
                <w:szCs w:val="18"/>
              </w:rPr>
            </w:pPr>
            <w:r>
              <w:rPr>
                <w:rFonts w:hint="eastAsia" w:ascii="宋体" w:hAnsi="宋体" w:eastAsia="宋体"/>
                <w:kern w:val="0"/>
                <w:sz w:val="18"/>
                <w:szCs w:val="18"/>
              </w:rPr>
              <w:t>小计</w:t>
            </w:r>
          </w:p>
        </w:tc>
        <w:tc>
          <w:tcPr>
            <w:tcW w:w="720" w:type="dxa"/>
            <w:tcBorders>
              <w:top w:val="nil"/>
              <w:left w:val="nil"/>
              <w:bottom w:val="nil"/>
              <w:right w:val="single" w:color="auto" w:sz="4" w:space="0"/>
              <w:tl2br w:val="nil"/>
              <w:tr2bl w:val="nil"/>
            </w:tcBorders>
            <w:shd w:val="clear" w:color="auto" w:fill="FFFFFF"/>
            <w:vAlign w:val="center"/>
          </w:tcPr>
          <w:p w14:paraId="6AC56DBF">
            <w:pPr>
              <w:widowControl/>
              <w:jc w:val="center"/>
              <w:rPr>
                <w:rFonts w:ascii="宋体" w:hAnsi="宋体" w:eastAsia="宋体"/>
                <w:kern w:val="0"/>
                <w:sz w:val="18"/>
                <w:szCs w:val="18"/>
              </w:rPr>
            </w:pPr>
            <w:r>
              <w:rPr>
                <w:rFonts w:hint="eastAsia" w:ascii="宋体" w:hAnsi="宋体" w:eastAsia="宋体"/>
                <w:kern w:val="0"/>
                <w:sz w:val="18"/>
                <w:szCs w:val="18"/>
              </w:rPr>
              <w:t>784</w:t>
            </w:r>
          </w:p>
        </w:tc>
        <w:tc>
          <w:tcPr>
            <w:tcW w:w="685" w:type="dxa"/>
            <w:gridSpan w:val="2"/>
            <w:tcBorders>
              <w:top w:val="nil"/>
              <w:left w:val="nil"/>
              <w:bottom w:val="single" w:color="auto" w:sz="4" w:space="0"/>
              <w:right w:val="single" w:color="auto" w:sz="4" w:space="0"/>
              <w:tl2br w:val="nil"/>
              <w:tr2bl w:val="nil"/>
            </w:tcBorders>
            <w:shd w:val="clear" w:color="auto" w:fill="FFFFFF"/>
            <w:vAlign w:val="center"/>
          </w:tcPr>
          <w:p w14:paraId="324973D7">
            <w:pPr>
              <w:widowControl/>
              <w:jc w:val="center"/>
              <w:rPr>
                <w:rFonts w:ascii="宋体" w:hAnsi="宋体" w:eastAsia="宋体"/>
                <w:kern w:val="0"/>
                <w:sz w:val="18"/>
                <w:szCs w:val="18"/>
              </w:rPr>
            </w:pPr>
            <w:r>
              <w:rPr>
                <w:rFonts w:ascii="宋体" w:hAnsi="宋体" w:eastAsia="宋体"/>
                <w:kern w:val="0"/>
                <w:sz w:val="18"/>
                <w:szCs w:val="18"/>
              </w:rPr>
              <w:t>0</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58E8A704">
            <w:pPr>
              <w:widowControl/>
              <w:jc w:val="center"/>
              <w:rPr>
                <w:rFonts w:ascii="宋体" w:hAnsi="宋体" w:eastAsia="宋体"/>
                <w:kern w:val="0"/>
                <w:sz w:val="18"/>
                <w:szCs w:val="18"/>
              </w:rPr>
            </w:pPr>
            <w:r>
              <w:rPr>
                <w:rFonts w:hint="eastAsia" w:ascii="宋体" w:hAnsi="宋体" w:eastAsia="宋体"/>
                <w:kern w:val="0"/>
                <w:sz w:val="18"/>
                <w:szCs w:val="18"/>
              </w:rPr>
              <w:t>6</w:t>
            </w:r>
          </w:p>
        </w:tc>
        <w:tc>
          <w:tcPr>
            <w:tcW w:w="567" w:type="dxa"/>
            <w:gridSpan w:val="2"/>
            <w:tcBorders>
              <w:top w:val="nil"/>
              <w:left w:val="nil"/>
              <w:bottom w:val="single" w:color="auto" w:sz="4" w:space="0"/>
              <w:right w:val="single" w:color="auto" w:sz="4" w:space="0"/>
              <w:tl2br w:val="nil"/>
              <w:tr2bl w:val="nil"/>
            </w:tcBorders>
            <w:shd w:val="clear" w:color="auto" w:fill="FFFFFF"/>
            <w:vAlign w:val="center"/>
          </w:tcPr>
          <w:p w14:paraId="4610655D">
            <w:pPr>
              <w:widowControl/>
              <w:jc w:val="center"/>
              <w:rPr>
                <w:rFonts w:ascii="宋体" w:hAnsi="宋体" w:eastAsia="宋体"/>
                <w:kern w:val="0"/>
                <w:sz w:val="18"/>
                <w:szCs w:val="18"/>
              </w:rPr>
            </w:pPr>
            <w:r>
              <w:rPr>
                <w:rFonts w:hint="eastAsia" w:ascii="宋体" w:hAnsi="宋体" w:eastAsia="宋体"/>
                <w:kern w:val="0"/>
                <w:sz w:val="18"/>
                <w:szCs w:val="18"/>
              </w:rPr>
              <w:t>26</w:t>
            </w:r>
          </w:p>
        </w:tc>
        <w:tc>
          <w:tcPr>
            <w:tcW w:w="567" w:type="dxa"/>
            <w:tcBorders>
              <w:top w:val="nil"/>
              <w:left w:val="nil"/>
              <w:bottom w:val="single" w:color="auto" w:sz="4" w:space="0"/>
              <w:right w:val="single" w:color="auto" w:sz="4" w:space="0"/>
              <w:tl2br w:val="nil"/>
              <w:tr2bl w:val="nil"/>
            </w:tcBorders>
            <w:shd w:val="clear" w:color="auto" w:fill="FFFFFF"/>
            <w:vAlign w:val="center"/>
          </w:tcPr>
          <w:p w14:paraId="79111D47">
            <w:pPr>
              <w:widowControl/>
              <w:jc w:val="center"/>
              <w:rPr>
                <w:rFonts w:ascii="宋体" w:hAnsi="宋体" w:eastAsia="宋体"/>
                <w:kern w:val="0"/>
                <w:sz w:val="18"/>
                <w:szCs w:val="18"/>
              </w:rPr>
            </w:pPr>
            <w:r>
              <w:rPr>
                <w:rFonts w:hint="eastAsia" w:ascii="宋体" w:hAnsi="宋体" w:eastAsia="宋体"/>
                <w:kern w:val="0"/>
                <w:sz w:val="18"/>
                <w:szCs w:val="18"/>
              </w:rPr>
              <w:t>17</w:t>
            </w:r>
          </w:p>
        </w:tc>
        <w:tc>
          <w:tcPr>
            <w:tcW w:w="1164" w:type="dxa"/>
            <w:vMerge w:val="continue"/>
            <w:tcBorders>
              <w:top w:val="nil"/>
              <w:left w:val="nil"/>
              <w:bottom w:val="single" w:color="auto" w:sz="4" w:space="0"/>
              <w:right w:val="single" w:color="auto" w:sz="4" w:space="0"/>
              <w:tl2br w:val="nil"/>
              <w:tr2bl w:val="nil"/>
            </w:tcBorders>
            <w:vAlign w:val="center"/>
          </w:tcPr>
          <w:p w14:paraId="4AF58FD6">
            <w:pPr>
              <w:widowControl/>
              <w:rPr>
                <w:rFonts w:ascii="宋体" w:hAnsi="宋体" w:eastAsia="宋体"/>
                <w:kern w:val="0"/>
                <w:sz w:val="18"/>
                <w:szCs w:val="18"/>
              </w:rPr>
            </w:pPr>
          </w:p>
        </w:tc>
      </w:tr>
      <w:tr w14:paraId="566D573C">
        <w:tblPrEx>
          <w:tblCellMar>
            <w:top w:w="0" w:type="dxa"/>
            <w:left w:w="108" w:type="dxa"/>
            <w:bottom w:w="0" w:type="dxa"/>
            <w:right w:w="108" w:type="dxa"/>
          </w:tblCellMar>
        </w:tblPrEx>
        <w:trPr>
          <w:trHeight w:val="284" w:hRule="atLeast"/>
        </w:trPr>
        <w:tc>
          <w:tcPr>
            <w:tcW w:w="680"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14:paraId="1810A36F">
            <w:pPr>
              <w:widowControl/>
              <w:rPr>
                <w:rFonts w:ascii="宋体" w:hAnsi="宋体" w:eastAsia="宋体"/>
                <w:b/>
                <w:kern w:val="0"/>
                <w:sz w:val="18"/>
                <w:szCs w:val="18"/>
              </w:rPr>
            </w:pPr>
          </w:p>
        </w:tc>
        <w:tc>
          <w:tcPr>
            <w:tcW w:w="611" w:type="dxa"/>
            <w:vMerge w:val="continue"/>
            <w:tcBorders>
              <w:top w:val="nil"/>
              <w:left w:val="nil"/>
              <w:bottom w:val="single" w:color="auto" w:sz="4" w:space="0"/>
              <w:right w:val="single" w:color="auto" w:sz="4" w:space="0"/>
              <w:tl2br w:val="nil"/>
              <w:tr2bl w:val="nil"/>
            </w:tcBorders>
            <w:shd w:val="clear" w:color="auto" w:fill="auto"/>
            <w:vAlign w:val="center"/>
          </w:tcPr>
          <w:p w14:paraId="15D6A35D">
            <w:pPr>
              <w:widowControl/>
              <w:rPr>
                <w:rFonts w:ascii="宋体" w:hAnsi="宋体" w:eastAsia="宋体"/>
                <w:b/>
                <w:kern w:val="0"/>
                <w:sz w:val="18"/>
                <w:szCs w:val="18"/>
              </w:rPr>
            </w:pPr>
          </w:p>
        </w:tc>
        <w:tc>
          <w:tcPr>
            <w:tcW w:w="6521" w:type="dxa"/>
            <w:gridSpan w:val="10"/>
            <w:tcBorders>
              <w:top w:val="single" w:color="auto" w:sz="4" w:space="0"/>
              <w:left w:val="nil"/>
              <w:bottom w:val="single" w:color="auto" w:sz="4" w:space="0"/>
              <w:right w:val="single" w:color="000000" w:sz="4" w:space="0"/>
              <w:tl2br w:val="nil"/>
              <w:tr2bl w:val="nil"/>
            </w:tcBorders>
            <w:shd w:val="clear" w:color="auto" w:fill="FFFFFF"/>
            <w:vAlign w:val="center"/>
          </w:tcPr>
          <w:p w14:paraId="54F1933D">
            <w:pPr>
              <w:widowControl/>
              <w:jc w:val="center"/>
              <w:rPr>
                <w:rFonts w:ascii="宋体" w:hAnsi="宋体" w:eastAsia="宋体"/>
                <w:kern w:val="0"/>
                <w:sz w:val="18"/>
                <w:szCs w:val="18"/>
              </w:rPr>
            </w:pPr>
            <w:r>
              <w:rPr>
                <w:rFonts w:hint="eastAsia" w:ascii="宋体" w:hAnsi="宋体" w:eastAsia="宋体"/>
                <w:kern w:val="0"/>
                <w:sz w:val="18"/>
                <w:szCs w:val="18"/>
              </w:rPr>
              <w:t>A-会计电算化方向</w:t>
            </w:r>
          </w:p>
        </w:tc>
        <w:tc>
          <w:tcPr>
            <w:tcW w:w="1164" w:type="dxa"/>
            <w:vMerge w:val="continue"/>
            <w:tcBorders>
              <w:top w:val="nil"/>
              <w:left w:val="nil"/>
              <w:bottom w:val="single" w:color="auto" w:sz="4" w:space="0"/>
              <w:right w:val="single" w:color="auto" w:sz="4" w:space="0"/>
              <w:tl2br w:val="nil"/>
              <w:tr2bl w:val="nil"/>
            </w:tcBorders>
            <w:vAlign w:val="center"/>
          </w:tcPr>
          <w:p w14:paraId="054E9851">
            <w:pPr>
              <w:widowControl/>
              <w:rPr>
                <w:rFonts w:ascii="宋体" w:hAnsi="宋体" w:eastAsia="宋体"/>
                <w:kern w:val="0"/>
                <w:sz w:val="18"/>
                <w:szCs w:val="18"/>
              </w:rPr>
            </w:pPr>
          </w:p>
        </w:tc>
      </w:tr>
      <w:tr w14:paraId="30F62C87">
        <w:tblPrEx>
          <w:tblCellMar>
            <w:top w:w="0" w:type="dxa"/>
            <w:left w:w="108" w:type="dxa"/>
            <w:bottom w:w="0" w:type="dxa"/>
            <w:right w:w="108" w:type="dxa"/>
          </w:tblCellMar>
        </w:tblPrEx>
        <w:trPr>
          <w:trHeight w:val="284" w:hRule="atLeast"/>
        </w:trPr>
        <w:tc>
          <w:tcPr>
            <w:tcW w:w="680"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14:paraId="2E34ADEA">
            <w:pPr>
              <w:widowControl/>
              <w:rPr>
                <w:rFonts w:ascii="宋体" w:hAnsi="宋体" w:eastAsia="宋体"/>
                <w:b/>
                <w:kern w:val="0"/>
                <w:sz w:val="18"/>
                <w:szCs w:val="18"/>
              </w:rPr>
            </w:pPr>
          </w:p>
        </w:tc>
        <w:tc>
          <w:tcPr>
            <w:tcW w:w="611" w:type="dxa"/>
            <w:vMerge w:val="continue"/>
            <w:tcBorders>
              <w:top w:val="nil"/>
              <w:left w:val="nil"/>
              <w:bottom w:val="single" w:color="auto" w:sz="4" w:space="0"/>
              <w:right w:val="single" w:color="auto" w:sz="4" w:space="0"/>
              <w:tl2br w:val="nil"/>
              <w:tr2bl w:val="nil"/>
            </w:tcBorders>
            <w:shd w:val="clear" w:color="auto" w:fill="auto"/>
            <w:vAlign w:val="center"/>
          </w:tcPr>
          <w:p w14:paraId="42711419">
            <w:pPr>
              <w:widowControl/>
              <w:rPr>
                <w:rFonts w:ascii="宋体" w:hAnsi="宋体" w:eastAsia="宋体"/>
                <w:b/>
                <w:kern w:val="0"/>
                <w:sz w:val="18"/>
                <w:szCs w:val="18"/>
              </w:rPr>
            </w:pPr>
          </w:p>
        </w:tc>
        <w:tc>
          <w:tcPr>
            <w:tcW w:w="1185" w:type="dxa"/>
            <w:tcBorders>
              <w:top w:val="nil"/>
              <w:left w:val="nil"/>
              <w:bottom w:val="single" w:color="auto" w:sz="4" w:space="0"/>
              <w:right w:val="single" w:color="auto" w:sz="4" w:space="0"/>
              <w:tl2br w:val="nil"/>
              <w:tr2bl w:val="nil"/>
            </w:tcBorders>
            <w:shd w:val="clear" w:color="auto" w:fill="FFFFFF"/>
            <w:vAlign w:val="center"/>
          </w:tcPr>
          <w:p w14:paraId="6AA93609">
            <w:pPr>
              <w:widowControl/>
              <w:jc w:val="center"/>
              <w:rPr>
                <w:rFonts w:ascii="宋体" w:hAnsi="宋体" w:eastAsia="宋体"/>
                <w:kern w:val="0"/>
                <w:sz w:val="18"/>
                <w:szCs w:val="18"/>
              </w:rPr>
            </w:pPr>
            <w:r>
              <w:rPr>
                <w:rFonts w:hint="eastAsia" w:ascii="宋体" w:hAnsi="宋体" w:eastAsia="宋体"/>
                <w:kern w:val="0"/>
                <w:sz w:val="18"/>
                <w:szCs w:val="18"/>
              </w:rPr>
              <w:t>1</w:t>
            </w:r>
          </w:p>
        </w:tc>
        <w:tc>
          <w:tcPr>
            <w:tcW w:w="2230" w:type="dxa"/>
            <w:tcBorders>
              <w:top w:val="nil"/>
              <w:left w:val="nil"/>
              <w:bottom w:val="single" w:color="auto" w:sz="4" w:space="0"/>
              <w:right w:val="single" w:color="auto" w:sz="4" w:space="0"/>
              <w:tl2br w:val="nil"/>
              <w:tr2bl w:val="nil"/>
            </w:tcBorders>
            <w:shd w:val="clear" w:color="auto" w:fill="FFFFFF"/>
            <w:vAlign w:val="center"/>
          </w:tcPr>
          <w:p w14:paraId="6B2E0F75">
            <w:pPr>
              <w:widowControl/>
              <w:rPr>
                <w:rFonts w:ascii="宋体" w:hAnsi="宋体" w:eastAsia="宋体"/>
                <w:kern w:val="0"/>
                <w:sz w:val="18"/>
                <w:szCs w:val="18"/>
              </w:rPr>
            </w:pPr>
            <w:r>
              <w:rPr>
                <w:rFonts w:hint="eastAsia" w:ascii="宋体" w:hAnsi="宋体" w:eastAsia="宋体"/>
                <w:kern w:val="0"/>
                <w:sz w:val="18"/>
                <w:szCs w:val="18"/>
              </w:rPr>
              <w:t>B/会计电算化实务（一）</w:t>
            </w:r>
          </w:p>
        </w:tc>
        <w:tc>
          <w:tcPr>
            <w:tcW w:w="720" w:type="dxa"/>
            <w:tcBorders>
              <w:top w:val="nil"/>
              <w:left w:val="nil"/>
              <w:bottom w:val="single" w:color="auto" w:sz="4" w:space="0"/>
              <w:right w:val="single" w:color="auto" w:sz="4" w:space="0"/>
              <w:tl2br w:val="nil"/>
              <w:tr2bl w:val="nil"/>
            </w:tcBorders>
            <w:shd w:val="clear" w:color="auto" w:fill="FFFFFF"/>
            <w:vAlign w:val="center"/>
          </w:tcPr>
          <w:p w14:paraId="0FA866B7">
            <w:pPr>
              <w:widowControl/>
              <w:jc w:val="center"/>
              <w:rPr>
                <w:rFonts w:ascii="宋体" w:hAnsi="宋体" w:eastAsia="宋体"/>
                <w:kern w:val="0"/>
                <w:sz w:val="18"/>
                <w:szCs w:val="18"/>
              </w:rPr>
            </w:pPr>
            <w:r>
              <w:rPr>
                <w:rFonts w:hint="eastAsia" w:ascii="宋体" w:hAnsi="宋体" w:eastAsia="宋体"/>
                <w:kern w:val="0"/>
                <w:sz w:val="18"/>
                <w:szCs w:val="18"/>
              </w:rPr>
              <w:t>128</w:t>
            </w:r>
          </w:p>
        </w:tc>
        <w:tc>
          <w:tcPr>
            <w:tcW w:w="474" w:type="dxa"/>
            <w:tcBorders>
              <w:top w:val="nil"/>
              <w:left w:val="nil"/>
              <w:bottom w:val="single" w:color="auto" w:sz="4" w:space="0"/>
              <w:right w:val="single" w:color="auto" w:sz="4" w:space="0"/>
              <w:tl2br w:val="nil"/>
              <w:tr2bl w:val="nil"/>
            </w:tcBorders>
            <w:shd w:val="clear" w:color="auto" w:fill="FFFFFF"/>
            <w:vAlign w:val="center"/>
          </w:tcPr>
          <w:p w14:paraId="1E7D01FB">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469" w:type="dxa"/>
            <w:gridSpan w:val="2"/>
            <w:tcBorders>
              <w:top w:val="nil"/>
              <w:left w:val="nil"/>
              <w:bottom w:val="single" w:color="auto" w:sz="4" w:space="0"/>
              <w:right w:val="single" w:color="auto" w:sz="4" w:space="0"/>
              <w:tl2br w:val="nil"/>
              <w:tr2bl w:val="nil"/>
            </w:tcBorders>
            <w:shd w:val="clear" w:color="auto" w:fill="FFFFFF"/>
            <w:vAlign w:val="center"/>
          </w:tcPr>
          <w:p w14:paraId="3ABE75A6">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474" w:type="dxa"/>
            <w:gridSpan w:val="2"/>
            <w:tcBorders>
              <w:top w:val="nil"/>
              <w:left w:val="nil"/>
              <w:bottom w:val="single" w:color="auto" w:sz="4" w:space="0"/>
              <w:right w:val="single" w:color="auto" w:sz="4" w:space="0"/>
              <w:tl2br w:val="nil"/>
              <w:tr2bl w:val="nil"/>
            </w:tcBorders>
            <w:shd w:val="clear" w:color="auto" w:fill="FFFFFF"/>
            <w:vAlign w:val="center"/>
          </w:tcPr>
          <w:p w14:paraId="58C7C19A">
            <w:pPr>
              <w:widowControl/>
              <w:jc w:val="center"/>
              <w:rPr>
                <w:rFonts w:ascii="宋体" w:hAnsi="宋体" w:eastAsia="宋体"/>
                <w:kern w:val="0"/>
                <w:sz w:val="18"/>
                <w:szCs w:val="18"/>
              </w:rPr>
            </w:pPr>
            <w:r>
              <w:rPr>
                <w:rFonts w:hint="eastAsia" w:ascii="宋体" w:hAnsi="宋体" w:eastAsia="宋体"/>
                <w:kern w:val="0"/>
                <w:sz w:val="18"/>
                <w:szCs w:val="18"/>
              </w:rPr>
              <w:t>3</w:t>
            </w:r>
          </w:p>
        </w:tc>
        <w:tc>
          <w:tcPr>
            <w:tcW w:w="969" w:type="dxa"/>
            <w:gridSpan w:val="2"/>
            <w:tcBorders>
              <w:top w:val="nil"/>
              <w:left w:val="nil"/>
              <w:bottom w:val="single" w:color="auto" w:sz="4" w:space="0"/>
              <w:right w:val="single" w:color="auto" w:sz="4" w:space="0"/>
              <w:tl2br w:val="nil"/>
              <w:tr2bl w:val="nil"/>
            </w:tcBorders>
            <w:shd w:val="clear" w:color="auto" w:fill="FFFFFF"/>
            <w:vAlign w:val="center"/>
          </w:tcPr>
          <w:p w14:paraId="6B236C57">
            <w:pPr>
              <w:widowControl/>
              <w:jc w:val="center"/>
              <w:rPr>
                <w:rFonts w:ascii="宋体" w:hAnsi="宋体" w:eastAsia="宋体"/>
                <w:kern w:val="0"/>
                <w:sz w:val="18"/>
                <w:szCs w:val="18"/>
              </w:rPr>
            </w:pPr>
            <w:r>
              <w:rPr>
                <w:rFonts w:hint="eastAsia" w:ascii="宋体" w:hAnsi="宋体" w:eastAsia="宋体"/>
                <w:kern w:val="0"/>
                <w:sz w:val="18"/>
                <w:szCs w:val="18"/>
              </w:rPr>
              <w:t>5</w:t>
            </w:r>
          </w:p>
        </w:tc>
        <w:tc>
          <w:tcPr>
            <w:tcW w:w="1164" w:type="dxa"/>
            <w:vMerge w:val="continue"/>
            <w:tcBorders>
              <w:top w:val="nil"/>
              <w:left w:val="nil"/>
              <w:bottom w:val="single" w:color="auto" w:sz="4" w:space="0"/>
              <w:right w:val="single" w:color="auto" w:sz="4" w:space="0"/>
              <w:tl2br w:val="nil"/>
              <w:tr2bl w:val="nil"/>
            </w:tcBorders>
            <w:vAlign w:val="center"/>
          </w:tcPr>
          <w:p w14:paraId="7E8D78CF">
            <w:pPr>
              <w:widowControl/>
              <w:rPr>
                <w:rFonts w:ascii="宋体" w:hAnsi="宋体" w:eastAsia="宋体"/>
                <w:kern w:val="0"/>
                <w:sz w:val="18"/>
                <w:szCs w:val="18"/>
              </w:rPr>
            </w:pPr>
          </w:p>
        </w:tc>
      </w:tr>
      <w:tr w14:paraId="10F39D59">
        <w:tblPrEx>
          <w:tblCellMar>
            <w:top w:w="0" w:type="dxa"/>
            <w:left w:w="108" w:type="dxa"/>
            <w:bottom w:w="0" w:type="dxa"/>
            <w:right w:w="108" w:type="dxa"/>
          </w:tblCellMar>
        </w:tblPrEx>
        <w:trPr>
          <w:trHeight w:val="284" w:hRule="atLeast"/>
        </w:trPr>
        <w:tc>
          <w:tcPr>
            <w:tcW w:w="680"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14:paraId="6BF03E51">
            <w:pPr>
              <w:widowControl/>
              <w:rPr>
                <w:rFonts w:ascii="宋体" w:hAnsi="宋体" w:eastAsia="宋体"/>
                <w:b/>
                <w:kern w:val="0"/>
                <w:sz w:val="18"/>
                <w:szCs w:val="18"/>
              </w:rPr>
            </w:pPr>
          </w:p>
        </w:tc>
        <w:tc>
          <w:tcPr>
            <w:tcW w:w="611" w:type="dxa"/>
            <w:vMerge w:val="continue"/>
            <w:tcBorders>
              <w:top w:val="nil"/>
              <w:left w:val="nil"/>
              <w:bottom w:val="single" w:color="auto" w:sz="4" w:space="0"/>
              <w:right w:val="single" w:color="auto" w:sz="4" w:space="0"/>
              <w:tl2br w:val="nil"/>
              <w:tr2bl w:val="nil"/>
            </w:tcBorders>
            <w:shd w:val="clear" w:color="auto" w:fill="auto"/>
            <w:vAlign w:val="center"/>
          </w:tcPr>
          <w:p w14:paraId="4E173F34">
            <w:pPr>
              <w:widowControl/>
              <w:rPr>
                <w:rFonts w:ascii="宋体" w:hAnsi="宋体" w:eastAsia="宋体"/>
                <w:b/>
                <w:kern w:val="0"/>
                <w:sz w:val="18"/>
                <w:szCs w:val="18"/>
              </w:rPr>
            </w:pPr>
          </w:p>
        </w:tc>
        <w:tc>
          <w:tcPr>
            <w:tcW w:w="1185" w:type="dxa"/>
            <w:tcBorders>
              <w:top w:val="nil"/>
              <w:left w:val="nil"/>
              <w:bottom w:val="single" w:color="auto" w:sz="4" w:space="0"/>
              <w:right w:val="single" w:color="auto" w:sz="4" w:space="0"/>
              <w:tl2br w:val="nil"/>
              <w:tr2bl w:val="nil"/>
            </w:tcBorders>
            <w:shd w:val="clear" w:color="auto" w:fill="FFFFFF"/>
            <w:vAlign w:val="center"/>
          </w:tcPr>
          <w:p w14:paraId="32BE80BD">
            <w:pPr>
              <w:widowControl/>
              <w:jc w:val="center"/>
              <w:rPr>
                <w:rFonts w:ascii="宋体" w:hAnsi="宋体" w:eastAsia="宋体"/>
                <w:kern w:val="0"/>
                <w:sz w:val="18"/>
                <w:szCs w:val="18"/>
              </w:rPr>
            </w:pPr>
            <w:r>
              <w:rPr>
                <w:rFonts w:hint="eastAsia" w:ascii="宋体" w:hAnsi="宋体" w:eastAsia="宋体"/>
                <w:kern w:val="0"/>
                <w:sz w:val="18"/>
                <w:szCs w:val="18"/>
              </w:rPr>
              <w:t>2</w:t>
            </w:r>
          </w:p>
        </w:tc>
        <w:tc>
          <w:tcPr>
            <w:tcW w:w="2230" w:type="dxa"/>
            <w:tcBorders>
              <w:top w:val="nil"/>
              <w:left w:val="nil"/>
              <w:bottom w:val="single" w:color="auto" w:sz="4" w:space="0"/>
              <w:right w:val="single" w:color="auto" w:sz="4" w:space="0"/>
              <w:tl2br w:val="nil"/>
              <w:tr2bl w:val="nil"/>
            </w:tcBorders>
            <w:shd w:val="clear" w:color="auto" w:fill="FFFFFF"/>
            <w:vAlign w:val="center"/>
          </w:tcPr>
          <w:p w14:paraId="3BB3D94E">
            <w:pPr>
              <w:widowControl/>
              <w:rPr>
                <w:rFonts w:ascii="宋体" w:hAnsi="宋体" w:eastAsia="宋体"/>
                <w:kern w:val="0"/>
                <w:sz w:val="18"/>
                <w:szCs w:val="18"/>
              </w:rPr>
            </w:pPr>
            <w:r>
              <w:rPr>
                <w:rFonts w:hint="eastAsia" w:ascii="宋体" w:hAnsi="宋体" w:eastAsia="宋体"/>
                <w:kern w:val="0"/>
                <w:sz w:val="18"/>
                <w:szCs w:val="18"/>
              </w:rPr>
              <w:t>B/会计电算化实务（二）</w:t>
            </w:r>
          </w:p>
        </w:tc>
        <w:tc>
          <w:tcPr>
            <w:tcW w:w="720" w:type="dxa"/>
            <w:tcBorders>
              <w:top w:val="nil"/>
              <w:left w:val="nil"/>
              <w:bottom w:val="single" w:color="auto" w:sz="4" w:space="0"/>
              <w:right w:val="single" w:color="auto" w:sz="4" w:space="0"/>
              <w:tl2br w:val="nil"/>
              <w:tr2bl w:val="nil"/>
            </w:tcBorders>
            <w:shd w:val="clear" w:color="auto" w:fill="FFFFFF"/>
            <w:vAlign w:val="center"/>
          </w:tcPr>
          <w:p w14:paraId="107ED561">
            <w:pPr>
              <w:widowControl/>
              <w:jc w:val="center"/>
              <w:rPr>
                <w:rFonts w:ascii="宋体" w:hAnsi="宋体" w:eastAsia="宋体"/>
                <w:kern w:val="0"/>
                <w:sz w:val="18"/>
                <w:szCs w:val="18"/>
              </w:rPr>
            </w:pPr>
            <w:r>
              <w:rPr>
                <w:rFonts w:hint="eastAsia" w:ascii="宋体" w:hAnsi="宋体" w:eastAsia="宋体"/>
                <w:kern w:val="0"/>
                <w:sz w:val="18"/>
                <w:szCs w:val="18"/>
              </w:rPr>
              <w:t>128</w:t>
            </w:r>
          </w:p>
        </w:tc>
        <w:tc>
          <w:tcPr>
            <w:tcW w:w="474" w:type="dxa"/>
            <w:tcBorders>
              <w:top w:val="nil"/>
              <w:left w:val="nil"/>
              <w:bottom w:val="single" w:color="auto" w:sz="4" w:space="0"/>
              <w:right w:val="single" w:color="auto" w:sz="4" w:space="0"/>
              <w:tl2br w:val="nil"/>
              <w:tr2bl w:val="nil"/>
            </w:tcBorders>
            <w:shd w:val="clear" w:color="auto" w:fill="FFFFFF"/>
            <w:vAlign w:val="center"/>
          </w:tcPr>
          <w:p w14:paraId="1352A5EE">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469" w:type="dxa"/>
            <w:gridSpan w:val="2"/>
            <w:tcBorders>
              <w:top w:val="nil"/>
              <w:left w:val="nil"/>
              <w:bottom w:val="single" w:color="auto" w:sz="4" w:space="0"/>
              <w:right w:val="single" w:color="auto" w:sz="4" w:space="0"/>
              <w:tl2br w:val="nil"/>
              <w:tr2bl w:val="nil"/>
            </w:tcBorders>
            <w:shd w:val="clear" w:color="auto" w:fill="FFFFFF"/>
            <w:vAlign w:val="center"/>
          </w:tcPr>
          <w:p w14:paraId="0B4A1978">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474" w:type="dxa"/>
            <w:gridSpan w:val="2"/>
            <w:tcBorders>
              <w:top w:val="nil"/>
              <w:left w:val="nil"/>
              <w:bottom w:val="single" w:color="auto" w:sz="4" w:space="0"/>
              <w:right w:val="single" w:color="auto" w:sz="4" w:space="0"/>
              <w:tl2br w:val="nil"/>
              <w:tr2bl w:val="nil"/>
            </w:tcBorders>
            <w:shd w:val="clear" w:color="auto" w:fill="FFFFFF"/>
            <w:vAlign w:val="center"/>
          </w:tcPr>
          <w:p w14:paraId="22796B2F">
            <w:pPr>
              <w:widowControl/>
              <w:jc w:val="center"/>
              <w:rPr>
                <w:rFonts w:ascii="宋体" w:hAnsi="宋体" w:eastAsia="宋体"/>
                <w:kern w:val="0"/>
                <w:sz w:val="18"/>
                <w:szCs w:val="18"/>
              </w:rPr>
            </w:pPr>
            <w:r>
              <w:rPr>
                <w:rFonts w:hint="eastAsia" w:ascii="宋体" w:hAnsi="宋体" w:eastAsia="宋体"/>
                <w:kern w:val="0"/>
                <w:sz w:val="18"/>
                <w:szCs w:val="18"/>
              </w:rPr>
              <w:t>3</w:t>
            </w:r>
          </w:p>
        </w:tc>
        <w:tc>
          <w:tcPr>
            <w:tcW w:w="969" w:type="dxa"/>
            <w:gridSpan w:val="2"/>
            <w:tcBorders>
              <w:top w:val="nil"/>
              <w:left w:val="nil"/>
              <w:bottom w:val="nil"/>
              <w:right w:val="single" w:color="auto" w:sz="4" w:space="0"/>
              <w:tl2br w:val="nil"/>
              <w:tr2bl w:val="nil"/>
            </w:tcBorders>
            <w:shd w:val="clear" w:color="auto" w:fill="FFFFFF"/>
            <w:vAlign w:val="center"/>
          </w:tcPr>
          <w:p w14:paraId="4CF906D7">
            <w:pPr>
              <w:widowControl/>
              <w:jc w:val="center"/>
              <w:rPr>
                <w:rFonts w:ascii="宋体" w:hAnsi="宋体" w:eastAsia="宋体"/>
                <w:kern w:val="0"/>
                <w:sz w:val="18"/>
                <w:szCs w:val="18"/>
              </w:rPr>
            </w:pPr>
            <w:r>
              <w:rPr>
                <w:rFonts w:hint="eastAsia" w:ascii="宋体" w:hAnsi="宋体" w:eastAsia="宋体"/>
                <w:kern w:val="0"/>
                <w:sz w:val="18"/>
                <w:szCs w:val="18"/>
              </w:rPr>
              <w:t>5</w:t>
            </w:r>
          </w:p>
        </w:tc>
        <w:tc>
          <w:tcPr>
            <w:tcW w:w="1164" w:type="dxa"/>
            <w:vMerge w:val="continue"/>
            <w:tcBorders>
              <w:top w:val="nil"/>
              <w:left w:val="nil"/>
              <w:bottom w:val="single" w:color="auto" w:sz="4" w:space="0"/>
              <w:right w:val="single" w:color="auto" w:sz="4" w:space="0"/>
              <w:tl2br w:val="nil"/>
              <w:tr2bl w:val="nil"/>
            </w:tcBorders>
            <w:vAlign w:val="center"/>
          </w:tcPr>
          <w:p w14:paraId="544AFD63">
            <w:pPr>
              <w:widowControl/>
              <w:rPr>
                <w:rFonts w:ascii="宋体" w:hAnsi="宋体" w:eastAsia="宋体"/>
                <w:kern w:val="0"/>
                <w:sz w:val="18"/>
                <w:szCs w:val="18"/>
              </w:rPr>
            </w:pPr>
          </w:p>
        </w:tc>
      </w:tr>
      <w:tr w14:paraId="220F6328">
        <w:tblPrEx>
          <w:tblCellMar>
            <w:top w:w="0" w:type="dxa"/>
            <w:left w:w="108" w:type="dxa"/>
            <w:bottom w:w="0" w:type="dxa"/>
            <w:right w:w="108" w:type="dxa"/>
          </w:tblCellMar>
        </w:tblPrEx>
        <w:trPr>
          <w:trHeight w:val="284" w:hRule="atLeast"/>
        </w:trPr>
        <w:tc>
          <w:tcPr>
            <w:tcW w:w="680"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14:paraId="1ECB6792">
            <w:pPr>
              <w:widowControl/>
              <w:rPr>
                <w:rFonts w:ascii="宋体" w:hAnsi="宋体" w:eastAsia="宋体"/>
                <w:b/>
                <w:kern w:val="0"/>
                <w:sz w:val="18"/>
                <w:szCs w:val="18"/>
              </w:rPr>
            </w:pPr>
          </w:p>
        </w:tc>
        <w:tc>
          <w:tcPr>
            <w:tcW w:w="611" w:type="dxa"/>
            <w:vMerge w:val="continue"/>
            <w:tcBorders>
              <w:top w:val="nil"/>
              <w:left w:val="nil"/>
              <w:bottom w:val="single" w:color="auto" w:sz="4" w:space="0"/>
              <w:right w:val="single" w:color="auto" w:sz="4" w:space="0"/>
              <w:tl2br w:val="nil"/>
              <w:tr2bl w:val="nil"/>
            </w:tcBorders>
            <w:shd w:val="clear" w:color="auto" w:fill="auto"/>
            <w:vAlign w:val="center"/>
          </w:tcPr>
          <w:p w14:paraId="2BE9E3F0">
            <w:pPr>
              <w:widowControl/>
              <w:rPr>
                <w:rFonts w:ascii="宋体" w:hAnsi="宋体" w:eastAsia="宋体"/>
                <w:b/>
                <w:kern w:val="0"/>
                <w:sz w:val="18"/>
                <w:szCs w:val="18"/>
              </w:rPr>
            </w:pPr>
          </w:p>
        </w:tc>
        <w:tc>
          <w:tcPr>
            <w:tcW w:w="3415" w:type="dxa"/>
            <w:gridSpan w:val="2"/>
            <w:tcBorders>
              <w:top w:val="single" w:color="auto" w:sz="4" w:space="0"/>
              <w:left w:val="nil"/>
              <w:bottom w:val="single" w:color="auto" w:sz="4" w:space="0"/>
              <w:right w:val="single" w:color="auto" w:sz="4" w:space="0"/>
              <w:tl2br w:val="nil"/>
              <w:tr2bl w:val="nil"/>
            </w:tcBorders>
            <w:shd w:val="clear" w:color="auto" w:fill="FFFFFF"/>
            <w:vAlign w:val="center"/>
          </w:tcPr>
          <w:p w14:paraId="72E5AFC2">
            <w:pPr>
              <w:widowControl/>
              <w:jc w:val="center"/>
              <w:rPr>
                <w:rFonts w:ascii="宋体" w:hAnsi="宋体" w:eastAsia="宋体"/>
                <w:kern w:val="0"/>
                <w:sz w:val="18"/>
                <w:szCs w:val="18"/>
              </w:rPr>
            </w:pPr>
            <w:r>
              <w:rPr>
                <w:rFonts w:hint="eastAsia" w:ascii="宋体" w:hAnsi="宋体" w:eastAsia="宋体"/>
                <w:kern w:val="0"/>
                <w:sz w:val="18"/>
                <w:szCs w:val="18"/>
              </w:rPr>
              <w:t>小计</w:t>
            </w:r>
          </w:p>
        </w:tc>
        <w:tc>
          <w:tcPr>
            <w:tcW w:w="720" w:type="dxa"/>
            <w:tcBorders>
              <w:top w:val="nil"/>
              <w:left w:val="nil"/>
              <w:bottom w:val="single" w:color="auto" w:sz="4" w:space="0"/>
              <w:right w:val="single" w:color="auto" w:sz="4" w:space="0"/>
              <w:tl2br w:val="nil"/>
              <w:tr2bl w:val="nil"/>
            </w:tcBorders>
            <w:shd w:val="clear" w:color="auto" w:fill="FFFFFF"/>
            <w:vAlign w:val="center"/>
          </w:tcPr>
          <w:p w14:paraId="4C4C8E70">
            <w:pPr>
              <w:widowControl/>
              <w:jc w:val="center"/>
              <w:rPr>
                <w:rFonts w:ascii="宋体" w:hAnsi="宋体" w:eastAsia="宋体"/>
                <w:kern w:val="0"/>
                <w:sz w:val="18"/>
                <w:szCs w:val="18"/>
              </w:rPr>
            </w:pPr>
            <w:r>
              <w:rPr>
                <w:rFonts w:hint="eastAsia" w:ascii="宋体" w:hAnsi="宋体" w:eastAsia="宋体"/>
                <w:kern w:val="0"/>
                <w:sz w:val="18"/>
                <w:szCs w:val="18"/>
              </w:rPr>
              <w:t>256</w:t>
            </w:r>
          </w:p>
        </w:tc>
        <w:tc>
          <w:tcPr>
            <w:tcW w:w="474" w:type="dxa"/>
            <w:tcBorders>
              <w:top w:val="nil"/>
              <w:left w:val="nil"/>
              <w:bottom w:val="single" w:color="auto" w:sz="4" w:space="0"/>
              <w:right w:val="single" w:color="auto" w:sz="4" w:space="0"/>
              <w:tl2br w:val="nil"/>
              <w:tr2bl w:val="nil"/>
            </w:tcBorders>
            <w:shd w:val="clear" w:color="auto" w:fill="FFFFFF"/>
            <w:vAlign w:val="center"/>
          </w:tcPr>
          <w:p w14:paraId="487BABD1">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469" w:type="dxa"/>
            <w:gridSpan w:val="2"/>
            <w:tcBorders>
              <w:top w:val="nil"/>
              <w:left w:val="nil"/>
              <w:bottom w:val="single" w:color="auto" w:sz="4" w:space="0"/>
              <w:right w:val="single" w:color="auto" w:sz="4" w:space="0"/>
              <w:tl2br w:val="nil"/>
              <w:tr2bl w:val="nil"/>
            </w:tcBorders>
            <w:shd w:val="clear" w:color="auto" w:fill="FFFFFF"/>
            <w:vAlign w:val="center"/>
          </w:tcPr>
          <w:p w14:paraId="037B6ABE">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474" w:type="dxa"/>
            <w:gridSpan w:val="2"/>
            <w:tcBorders>
              <w:top w:val="nil"/>
              <w:left w:val="nil"/>
              <w:bottom w:val="single" w:color="auto" w:sz="4" w:space="0"/>
              <w:right w:val="single" w:color="auto" w:sz="4" w:space="0"/>
              <w:tl2br w:val="nil"/>
              <w:tr2bl w:val="nil"/>
            </w:tcBorders>
            <w:shd w:val="clear" w:color="auto" w:fill="FFFFFF"/>
            <w:vAlign w:val="center"/>
          </w:tcPr>
          <w:p w14:paraId="76E408EA">
            <w:pPr>
              <w:widowControl/>
              <w:jc w:val="center"/>
              <w:rPr>
                <w:rFonts w:ascii="宋体" w:hAnsi="宋体" w:eastAsia="宋体"/>
                <w:kern w:val="0"/>
                <w:sz w:val="18"/>
                <w:szCs w:val="18"/>
              </w:rPr>
            </w:pPr>
            <w:r>
              <w:rPr>
                <w:rFonts w:hint="eastAsia" w:ascii="宋体" w:hAnsi="宋体" w:eastAsia="宋体"/>
                <w:kern w:val="0"/>
                <w:sz w:val="18"/>
                <w:szCs w:val="18"/>
              </w:rPr>
              <w:t>6</w:t>
            </w:r>
          </w:p>
        </w:tc>
        <w:tc>
          <w:tcPr>
            <w:tcW w:w="969" w:type="dxa"/>
            <w:gridSpan w:val="2"/>
            <w:tcBorders>
              <w:top w:val="nil"/>
              <w:left w:val="nil"/>
              <w:bottom w:val="single" w:color="auto" w:sz="4" w:space="0"/>
              <w:right w:val="single" w:color="auto" w:sz="4" w:space="0"/>
              <w:tl2br w:val="nil"/>
              <w:tr2bl w:val="nil"/>
            </w:tcBorders>
            <w:shd w:val="clear" w:color="auto" w:fill="FFFFFF"/>
            <w:vAlign w:val="center"/>
          </w:tcPr>
          <w:p w14:paraId="35DCDAA2">
            <w:pPr>
              <w:widowControl/>
              <w:jc w:val="center"/>
              <w:rPr>
                <w:rFonts w:ascii="宋体" w:hAnsi="宋体" w:eastAsia="宋体"/>
                <w:kern w:val="0"/>
                <w:sz w:val="18"/>
                <w:szCs w:val="18"/>
              </w:rPr>
            </w:pPr>
            <w:r>
              <w:rPr>
                <w:rFonts w:hint="eastAsia" w:ascii="宋体" w:hAnsi="宋体" w:eastAsia="宋体"/>
                <w:kern w:val="0"/>
                <w:sz w:val="18"/>
                <w:szCs w:val="18"/>
              </w:rPr>
              <w:t>10</w:t>
            </w:r>
          </w:p>
        </w:tc>
        <w:tc>
          <w:tcPr>
            <w:tcW w:w="1164" w:type="dxa"/>
            <w:vMerge w:val="continue"/>
            <w:tcBorders>
              <w:top w:val="nil"/>
              <w:left w:val="nil"/>
              <w:bottom w:val="single" w:color="auto" w:sz="4" w:space="0"/>
              <w:right w:val="single" w:color="auto" w:sz="4" w:space="0"/>
              <w:tl2br w:val="nil"/>
              <w:tr2bl w:val="nil"/>
            </w:tcBorders>
            <w:vAlign w:val="center"/>
          </w:tcPr>
          <w:p w14:paraId="4C736100">
            <w:pPr>
              <w:widowControl/>
              <w:rPr>
                <w:rFonts w:ascii="宋体" w:hAnsi="宋体" w:eastAsia="宋体"/>
                <w:kern w:val="0"/>
                <w:sz w:val="18"/>
                <w:szCs w:val="18"/>
              </w:rPr>
            </w:pPr>
          </w:p>
        </w:tc>
      </w:tr>
      <w:tr w14:paraId="397DD004">
        <w:tblPrEx>
          <w:tblCellMar>
            <w:top w:w="0" w:type="dxa"/>
            <w:left w:w="108" w:type="dxa"/>
            <w:bottom w:w="0" w:type="dxa"/>
            <w:right w:w="108" w:type="dxa"/>
          </w:tblCellMar>
        </w:tblPrEx>
        <w:trPr>
          <w:trHeight w:val="284" w:hRule="atLeast"/>
        </w:trPr>
        <w:tc>
          <w:tcPr>
            <w:tcW w:w="1291" w:type="dxa"/>
            <w:gridSpan w:val="2"/>
            <w:vMerge w:val="restart"/>
            <w:tcBorders>
              <w:top w:val="nil"/>
              <w:left w:val="single" w:color="auto" w:sz="4" w:space="0"/>
              <w:bottom w:val="single" w:color="auto" w:sz="4" w:space="0"/>
              <w:right w:val="single" w:color="auto" w:sz="4" w:space="0"/>
              <w:tl2br w:val="nil"/>
              <w:tr2bl w:val="nil"/>
            </w:tcBorders>
            <w:shd w:val="clear" w:color="auto" w:fill="FFFFFF"/>
            <w:vAlign w:val="center"/>
          </w:tcPr>
          <w:p w14:paraId="386A63B3">
            <w:pPr>
              <w:widowControl/>
              <w:jc w:val="center"/>
              <w:rPr>
                <w:rFonts w:ascii="宋体" w:hAnsi="宋体" w:eastAsia="宋体"/>
                <w:b/>
                <w:kern w:val="0"/>
                <w:sz w:val="18"/>
                <w:szCs w:val="18"/>
              </w:rPr>
            </w:pPr>
            <w:r>
              <w:rPr>
                <w:rFonts w:hint="eastAsia" w:ascii="宋体" w:hAnsi="宋体" w:eastAsia="宋体"/>
                <w:b/>
                <w:kern w:val="0"/>
                <w:sz w:val="18"/>
                <w:szCs w:val="18"/>
              </w:rPr>
              <w:t>选</w:t>
            </w:r>
          </w:p>
          <w:p w14:paraId="5377DB60">
            <w:pPr>
              <w:widowControl/>
              <w:jc w:val="center"/>
              <w:rPr>
                <w:rFonts w:ascii="宋体" w:hAnsi="宋体" w:eastAsia="宋体"/>
                <w:b/>
                <w:kern w:val="0"/>
                <w:sz w:val="18"/>
                <w:szCs w:val="18"/>
              </w:rPr>
            </w:pPr>
            <w:r>
              <w:rPr>
                <w:rFonts w:hint="eastAsia" w:ascii="宋体" w:hAnsi="宋体" w:eastAsia="宋体"/>
                <w:b/>
                <w:kern w:val="0"/>
                <w:sz w:val="18"/>
                <w:szCs w:val="18"/>
              </w:rPr>
              <w:t>修</w:t>
            </w:r>
          </w:p>
          <w:p w14:paraId="484C25DA">
            <w:pPr>
              <w:widowControl/>
              <w:jc w:val="center"/>
              <w:rPr>
                <w:rFonts w:ascii="宋体" w:hAnsi="宋体" w:eastAsia="宋体"/>
                <w:b/>
                <w:kern w:val="0"/>
                <w:sz w:val="18"/>
                <w:szCs w:val="18"/>
              </w:rPr>
            </w:pPr>
            <w:r>
              <w:rPr>
                <w:rFonts w:hint="eastAsia" w:ascii="宋体" w:hAnsi="宋体" w:eastAsia="宋体"/>
                <w:b/>
                <w:kern w:val="0"/>
                <w:sz w:val="18"/>
                <w:szCs w:val="18"/>
              </w:rPr>
              <w:t>课</w:t>
            </w:r>
          </w:p>
        </w:tc>
        <w:tc>
          <w:tcPr>
            <w:tcW w:w="1185" w:type="dxa"/>
            <w:tcBorders>
              <w:top w:val="nil"/>
              <w:left w:val="nil"/>
              <w:bottom w:val="single" w:color="auto" w:sz="4" w:space="0"/>
              <w:right w:val="single" w:color="auto" w:sz="4" w:space="0"/>
              <w:tl2br w:val="nil"/>
              <w:tr2bl w:val="nil"/>
            </w:tcBorders>
            <w:shd w:val="clear" w:color="auto" w:fill="FFFFFF"/>
            <w:vAlign w:val="center"/>
          </w:tcPr>
          <w:p w14:paraId="7664E6F8">
            <w:pPr>
              <w:widowControl/>
              <w:jc w:val="center"/>
              <w:rPr>
                <w:rFonts w:ascii="宋体" w:hAnsi="宋体" w:eastAsia="宋体"/>
                <w:kern w:val="0"/>
                <w:sz w:val="18"/>
                <w:szCs w:val="18"/>
              </w:rPr>
            </w:pPr>
            <w:r>
              <w:rPr>
                <w:rFonts w:hint="eastAsia" w:ascii="宋体" w:hAnsi="宋体" w:eastAsia="宋体"/>
                <w:kern w:val="0"/>
                <w:sz w:val="18"/>
                <w:szCs w:val="18"/>
              </w:rPr>
              <w:t>1</w:t>
            </w:r>
          </w:p>
        </w:tc>
        <w:tc>
          <w:tcPr>
            <w:tcW w:w="2230" w:type="dxa"/>
            <w:tcBorders>
              <w:top w:val="nil"/>
              <w:left w:val="nil"/>
              <w:bottom w:val="single" w:color="auto" w:sz="4" w:space="0"/>
              <w:right w:val="single" w:color="auto" w:sz="4" w:space="0"/>
              <w:tl2br w:val="nil"/>
              <w:tr2bl w:val="nil"/>
            </w:tcBorders>
            <w:shd w:val="clear" w:color="auto" w:fill="FFFFFF"/>
            <w:vAlign w:val="center"/>
          </w:tcPr>
          <w:p w14:paraId="1E01AD86">
            <w:pPr>
              <w:widowControl/>
              <w:rPr>
                <w:rFonts w:ascii="宋体" w:hAnsi="宋体" w:eastAsia="宋体"/>
                <w:kern w:val="0"/>
                <w:sz w:val="18"/>
                <w:szCs w:val="18"/>
              </w:rPr>
            </w:pPr>
            <w:r>
              <w:rPr>
                <w:rFonts w:hint="eastAsia" w:ascii="宋体" w:hAnsi="宋体" w:eastAsia="宋体"/>
                <w:kern w:val="0"/>
                <w:sz w:val="18"/>
                <w:szCs w:val="18"/>
              </w:rPr>
              <w:t>政治</w:t>
            </w:r>
          </w:p>
        </w:tc>
        <w:tc>
          <w:tcPr>
            <w:tcW w:w="720" w:type="dxa"/>
            <w:tcBorders>
              <w:top w:val="nil"/>
              <w:left w:val="nil"/>
              <w:bottom w:val="single" w:color="auto" w:sz="4" w:space="0"/>
              <w:right w:val="single" w:color="auto" w:sz="4" w:space="0"/>
              <w:tl2br w:val="nil"/>
              <w:tr2bl w:val="nil"/>
            </w:tcBorders>
            <w:shd w:val="clear" w:color="auto" w:fill="FFFFFF"/>
            <w:vAlign w:val="center"/>
          </w:tcPr>
          <w:p w14:paraId="26A069F2">
            <w:pPr>
              <w:widowControl/>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36</w:t>
            </w:r>
          </w:p>
        </w:tc>
        <w:tc>
          <w:tcPr>
            <w:tcW w:w="474" w:type="dxa"/>
            <w:tcBorders>
              <w:top w:val="nil"/>
              <w:left w:val="nil"/>
              <w:bottom w:val="single" w:color="auto" w:sz="4" w:space="0"/>
              <w:right w:val="single" w:color="auto" w:sz="4" w:space="0"/>
              <w:tl2br w:val="nil"/>
              <w:tr2bl w:val="nil"/>
            </w:tcBorders>
            <w:shd w:val="clear" w:color="auto" w:fill="FFFFFF"/>
            <w:vAlign w:val="center"/>
          </w:tcPr>
          <w:p w14:paraId="2E5770BB">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469" w:type="dxa"/>
            <w:gridSpan w:val="2"/>
            <w:tcBorders>
              <w:top w:val="nil"/>
              <w:left w:val="nil"/>
              <w:bottom w:val="single" w:color="auto" w:sz="4" w:space="0"/>
              <w:right w:val="single" w:color="auto" w:sz="4" w:space="0"/>
              <w:tl2br w:val="nil"/>
              <w:tr2bl w:val="nil"/>
            </w:tcBorders>
            <w:shd w:val="clear" w:color="auto" w:fill="FFFFFF"/>
            <w:vAlign w:val="center"/>
          </w:tcPr>
          <w:p w14:paraId="0D733167">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474" w:type="dxa"/>
            <w:gridSpan w:val="2"/>
            <w:tcBorders>
              <w:top w:val="nil"/>
              <w:left w:val="nil"/>
              <w:bottom w:val="single" w:color="auto" w:sz="4" w:space="0"/>
              <w:right w:val="single" w:color="auto" w:sz="4" w:space="0"/>
              <w:tl2br w:val="nil"/>
              <w:tr2bl w:val="nil"/>
            </w:tcBorders>
            <w:shd w:val="clear" w:color="auto" w:fill="FFFFFF"/>
            <w:vAlign w:val="center"/>
          </w:tcPr>
          <w:p w14:paraId="0D1C8B8A">
            <w:pPr>
              <w:widowControl/>
              <w:jc w:val="center"/>
              <w:rPr>
                <w:rFonts w:ascii="宋体" w:hAnsi="宋体" w:eastAsia="宋体"/>
                <w:kern w:val="0"/>
                <w:sz w:val="18"/>
                <w:szCs w:val="18"/>
              </w:rPr>
            </w:pPr>
            <w:r>
              <w:rPr>
                <w:rFonts w:hint="eastAsia" w:ascii="宋体" w:hAnsi="宋体" w:eastAsia="宋体"/>
                <w:kern w:val="0"/>
                <w:sz w:val="18"/>
                <w:szCs w:val="18"/>
              </w:rPr>
              <w:t>3</w:t>
            </w:r>
          </w:p>
        </w:tc>
        <w:tc>
          <w:tcPr>
            <w:tcW w:w="969" w:type="dxa"/>
            <w:gridSpan w:val="2"/>
            <w:tcBorders>
              <w:top w:val="nil"/>
              <w:left w:val="nil"/>
              <w:bottom w:val="single" w:color="auto" w:sz="4" w:space="0"/>
              <w:right w:val="single" w:color="auto" w:sz="4" w:space="0"/>
              <w:tl2br w:val="nil"/>
              <w:tr2bl w:val="nil"/>
            </w:tcBorders>
            <w:shd w:val="clear" w:color="auto" w:fill="FFFFFF"/>
            <w:vAlign w:val="center"/>
          </w:tcPr>
          <w:p w14:paraId="23B29506">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1164" w:type="dxa"/>
            <w:vMerge w:val="continue"/>
            <w:tcBorders>
              <w:top w:val="nil"/>
              <w:left w:val="nil"/>
              <w:bottom w:val="single" w:color="auto" w:sz="4" w:space="0"/>
              <w:right w:val="single" w:color="auto" w:sz="4" w:space="0"/>
              <w:tl2br w:val="nil"/>
              <w:tr2bl w:val="nil"/>
            </w:tcBorders>
            <w:vAlign w:val="center"/>
          </w:tcPr>
          <w:p w14:paraId="43D91046">
            <w:pPr>
              <w:widowControl/>
              <w:rPr>
                <w:rFonts w:ascii="宋体" w:hAnsi="宋体" w:eastAsia="宋体"/>
                <w:kern w:val="0"/>
                <w:sz w:val="18"/>
                <w:szCs w:val="18"/>
              </w:rPr>
            </w:pPr>
          </w:p>
        </w:tc>
      </w:tr>
      <w:tr w14:paraId="06081F80">
        <w:tblPrEx>
          <w:tblCellMar>
            <w:top w:w="0" w:type="dxa"/>
            <w:left w:w="108" w:type="dxa"/>
            <w:bottom w:w="0" w:type="dxa"/>
            <w:right w:w="108" w:type="dxa"/>
          </w:tblCellMar>
        </w:tblPrEx>
        <w:trPr>
          <w:trHeight w:val="284" w:hRule="atLeast"/>
        </w:trPr>
        <w:tc>
          <w:tcPr>
            <w:tcW w:w="1291" w:type="dxa"/>
            <w:gridSpan w:val="2"/>
            <w:vMerge w:val="continue"/>
            <w:tcBorders>
              <w:top w:val="nil"/>
              <w:left w:val="single" w:color="auto" w:sz="4" w:space="0"/>
              <w:bottom w:val="single" w:color="auto" w:sz="4" w:space="0"/>
              <w:right w:val="single" w:color="auto" w:sz="4" w:space="0"/>
              <w:tl2br w:val="nil"/>
              <w:tr2bl w:val="nil"/>
            </w:tcBorders>
            <w:shd w:val="clear" w:color="auto" w:fill="auto"/>
            <w:vAlign w:val="center"/>
          </w:tcPr>
          <w:p w14:paraId="6266E17B">
            <w:pPr>
              <w:widowControl/>
              <w:rPr>
                <w:rFonts w:ascii="宋体" w:hAnsi="宋体" w:eastAsia="宋体"/>
                <w:b/>
                <w:kern w:val="0"/>
                <w:sz w:val="18"/>
                <w:szCs w:val="18"/>
              </w:rPr>
            </w:pPr>
          </w:p>
        </w:tc>
        <w:tc>
          <w:tcPr>
            <w:tcW w:w="1185" w:type="dxa"/>
            <w:tcBorders>
              <w:top w:val="nil"/>
              <w:left w:val="nil"/>
              <w:bottom w:val="single" w:color="auto" w:sz="4" w:space="0"/>
              <w:right w:val="single" w:color="auto" w:sz="4" w:space="0"/>
              <w:tl2br w:val="nil"/>
              <w:tr2bl w:val="nil"/>
            </w:tcBorders>
            <w:shd w:val="clear" w:color="auto" w:fill="FFFFFF"/>
            <w:vAlign w:val="center"/>
          </w:tcPr>
          <w:p w14:paraId="53DFBDCD">
            <w:pPr>
              <w:widowControl/>
              <w:jc w:val="center"/>
              <w:rPr>
                <w:rFonts w:ascii="宋体" w:hAnsi="宋体" w:eastAsia="宋体"/>
                <w:kern w:val="0"/>
                <w:sz w:val="18"/>
                <w:szCs w:val="18"/>
              </w:rPr>
            </w:pPr>
            <w:r>
              <w:rPr>
                <w:rFonts w:hint="eastAsia" w:ascii="宋体" w:hAnsi="宋体" w:eastAsia="宋体"/>
                <w:kern w:val="0"/>
                <w:sz w:val="18"/>
                <w:szCs w:val="18"/>
              </w:rPr>
              <w:t>2</w:t>
            </w:r>
          </w:p>
        </w:tc>
        <w:tc>
          <w:tcPr>
            <w:tcW w:w="2230" w:type="dxa"/>
            <w:tcBorders>
              <w:top w:val="nil"/>
              <w:left w:val="nil"/>
              <w:bottom w:val="single" w:color="auto" w:sz="4" w:space="0"/>
              <w:right w:val="single" w:color="auto" w:sz="4" w:space="0"/>
              <w:tl2br w:val="nil"/>
              <w:tr2bl w:val="nil"/>
            </w:tcBorders>
            <w:shd w:val="clear" w:color="auto" w:fill="FFFFFF"/>
            <w:vAlign w:val="center"/>
          </w:tcPr>
          <w:p w14:paraId="43CBD744">
            <w:pPr>
              <w:widowControl/>
              <w:rPr>
                <w:rFonts w:ascii="宋体" w:hAnsi="宋体" w:eastAsia="宋体"/>
                <w:kern w:val="0"/>
                <w:sz w:val="18"/>
                <w:szCs w:val="18"/>
              </w:rPr>
            </w:pPr>
            <w:r>
              <w:rPr>
                <w:rFonts w:hint="eastAsia" w:ascii="宋体" w:hAnsi="宋体" w:eastAsia="宋体"/>
                <w:kern w:val="0"/>
                <w:sz w:val="18"/>
                <w:szCs w:val="18"/>
              </w:rPr>
              <w:t>历史</w:t>
            </w:r>
          </w:p>
        </w:tc>
        <w:tc>
          <w:tcPr>
            <w:tcW w:w="720" w:type="dxa"/>
            <w:tcBorders>
              <w:top w:val="nil"/>
              <w:left w:val="nil"/>
              <w:bottom w:val="single" w:color="auto" w:sz="4" w:space="0"/>
              <w:right w:val="single" w:color="auto" w:sz="4" w:space="0"/>
              <w:tl2br w:val="nil"/>
              <w:tr2bl w:val="nil"/>
            </w:tcBorders>
            <w:shd w:val="clear" w:color="auto" w:fill="FFFFFF"/>
            <w:vAlign w:val="center"/>
          </w:tcPr>
          <w:p w14:paraId="0B9B0369">
            <w:pPr>
              <w:widowControl/>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18</w:t>
            </w:r>
          </w:p>
        </w:tc>
        <w:tc>
          <w:tcPr>
            <w:tcW w:w="474" w:type="dxa"/>
            <w:tcBorders>
              <w:top w:val="nil"/>
              <w:left w:val="nil"/>
              <w:bottom w:val="single" w:color="auto" w:sz="4" w:space="0"/>
              <w:right w:val="single" w:color="auto" w:sz="4" w:space="0"/>
              <w:tl2br w:val="nil"/>
              <w:tr2bl w:val="nil"/>
            </w:tcBorders>
            <w:shd w:val="clear" w:color="auto" w:fill="FFFFFF"/>
            <w:vAlign w:val="center"/>
          </w:tcPr>
          <w:p w14:paraId="188E1C7E">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469" w:type="dxa"/>
            <w:gridSpan w:val="2"/>
            <w:tcBorders>
              <w:top w:val="nil"/>
              <w:left w:val="nil"/>
              <w:bottom w:val="single" w:color="auto" w:sz="4" w:space="0"/>
              <w:right w:val="single" w:color="auto" w:sz="4" w:space="0"/>
              <w:tl2br w:val="nil"/>
              <w:tr2bl w:val="nil"/>
            </w:tcBorders>
            <w:shd w:val="clear" w:color="auto" w:fill="FFFFFF"/>
            <w:vAlign w:val="center"/>
          </w:tcPr>
          <w:p w14:paraId="09900444">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474" w:type="dxa"/>
            <w:gridSpan w:val="2"/>
            <w:tcBorders>
              <w:top w:val="nil"/>
              <w:left w:val="nil"/>
              <w:bottom w:val="single" w:color="auto" w:sz="4" w:space="0"/>
              <w:right w:val="single" w:color="auto" w:sz="4" w:space="0"/>
              <w:tl2br w:val="nil"/>
              <w:tr2bl w:val="nil"/>
            </w:tcBorders>
            <w:shd w:val="clear" w:color="auto" w:fill="FFFFFF"/>
            <w:vAlign w:val="center"/>
          </w:tcPr>
          <w:p w14:paraId="4EE57D6C">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969" w:type="dxa"/>
            <w:gridSpan w:val="2"/>
            <w:tcBorders>
              <w:top w:val="nil"/>
              <w:left w:val="nil"/>
              <w:bottom w:val="nil"/>
              <w:right w:val="single" w:color="auto" w:sz="4" w:space="0"/>
              <w:tl2br w:val="nil"/>
              <w:tr2bl w:val="nil"/>
            </w:tcBorders>
            <w:shd w:val="clear" w:color="auto" w:fill="FFFFFF"/>
            <w:vAlign w:val="center"/>
          </w:tcPr>
          <w:p w14:paraId="03F7A799">
            <w:pPr>
              <w:widowControl/>
              <w:jc w:val="center"/>
              <w:rPr>
                <w:rFonts w:ascii="宋体" w:hAnsi="宋体" w:eastAsia="宋体"/>
                <w:kern w:val="0"/>
                <w:sz w:val="18"/>
                <w:szCs w:val="18"/>
              </w:rPr>
            </w:pPr>
            <w:r>
              <w:rPr>
                <w:rFonts w:hint="eastAsia" w:ascii="宋体" w:hAnsi="宋体" w:eastAsia="宋体"/>
                <w:kern w:val="0"/>
                <w:sz w:val="18"/>
                <w:szCs w:val="18"/>
              </w:rPr>
              <w:t>8</w:t>
            </w:r>
          </w:p>
        </w:tc>
        <w:tc>
          <w:tcPr>
            <w:tcW w:w="1164" w:type="dxa"/>
            <w:vMerge w:val="continue"/>
            <w:tcBorders>
              <w:top w:val="nil"/>
              <w:left w:val="nil"/>
              <w:bottom w:val="single" w:color="auto" w:sz="4" w:space="0"/>
              <w:right w:val="single" w:color="auto" w:sz="4" w:space="0"/>
              <w:tl2br w:val="nil"/>
              <w:tr2bl w:val="nil"/>
            </w:tcBorders>
            <w:vAlign w:val="center"/>
          </w:tcPr>
          <w:p w14:paraId="19351ADF">
            <w:pPr>
              <w:widowControl/>
              <w:rPr>
                <w:rFonts w:ascii="宋体" w:hAnsi="宋体" w:eastAsia="宋体"/>
                <w:kern w:val="0"/>
                <w:sz w:val="18"/>
                <w:szCs w:val="18"/>
              </w:rPr>
            </w:pPr>
          </w:p>
        </w:tc>
      </w:tr>
      <w:tr w14:paraId="6CE217FE">
        <w:tblPrEx>
          <w:tblCellMar>
            <w:top w:w="0" w:type="dxa"/>
            <w:left w:w="108" w:type="dxa"/>
            <w:bottom w:w="0" w:type="dxa"/>
            <w:right w:w="108" w:type="dxa"/>
          </w:tblCellMar>
        </w:tblPrEx>
        <w:trPr>
          <w:trHeight w:val="284" w:hRule="atLeast"/>
        </w:trPr>
        <w:tc>
          <w:tcPr>
            <w:tcW w:w="1291" w:type="dxa"/>
            <w:gridSpan w:val="2"/>
            <w:vMerge w:val="continue"/>
            <w:tcBorders>
              <w:top w:val="nil"/>
              <w:left w:val="single" w:color="auto" w:sz="4" w:space="0"/>
              <w:bottom w:val="single" w:color="auto" w:sz="4" w:space="0"/>
              <w:right w:val="single" w:color="auto" w:sz="4" w:space="0"/>
              <w:tl2br w:val="nil"/>
              <w:tr2bl w:val="nil"/>
            </w:tcBorders>
            <w:shd w:val="clear" w:color="auto" w:fill="auto"/>
            <w:vAlign w:val="center"/>
          </w:tcPr>
          <w:p w14:paraId="6A0EB3A1">
            <w:pPr>
              <w:widowControl/>
              <w:rPr>
                <w:rFonts w:ascii="宋体" w:hAnsi="宋体" w:eastAsia="宋体"/>
                <w:b/>
                <w:kern w:val="0"/>
                <w:sz w:val="18"/>
                <w:szCs w:val="18"/>
              </w:rPr>
            </w:pPr>
          </w:p>
        </w:tc>
        <w:tc>
          <w:tcPr>
            <w:tcW w:w="3415" w:type="dxa"/>
            <w:gridSpan w:val="2"/>
            <w:tcBorders>
              <w:top w:val="single" w:color="auto" w:sz="4" w:space="0"/>
              <w:left w:val="nil"/>
              <w:bottom w:val="single" w:color="auto" w:sz="4" w:space="0"/>
              <w:right w:val="single" w:color="auto" w:sz="4" w:space="0"/>
              <w:tl2br w:val="nil"/>
              <w:tr2bl w:val="nil"/>
            </w:tcBorders>
            <w:shd w:val="clear" w:color="auto" w:fill="FFFFFF"/>
            <w:vAlign w:val="center"/>
          </w:tcPr>
          <w:p w14:paraId="2EC8842B">
            <w:pPr>
              <w:widowControl/>
              <w:jc w:val="center"/>
              <w:rPr>
                <w:rFonts w:ascii="宋体" w:hAnsi="宋体" w:eastAsia="宋体"/>
                <w:kern w:val="0"/>
                <w:sz w:val="18"/>
                <w:szCs w:val="18"/>
              </w:rPr>
            </w:pPr>
            <w:r>
              <w:rPr>
                <w:rFonts w:hint="eastAsia" w:ascii="宋体" w:hAnsi="宋体" w:eastAsia="宋体"/>
                <w:kern w:val="0"/>
                <w:sz w:val="18"/>
                <w:szCs w:val="18"/>
              </w:rPr>
              <w:t>小计</w:t>
            </w:r>
          </w:p>
        </w:tc>
        <w:tc>
          <w:tcPr>
            <w:tcW w:w="720" w:type="dxa"/>
            <w:tcBorders>
              <w:top w:val="nil"/>
              <w:left w:val="nil"/>
              <w:bottom w:val="nil"/>
              <w:right w:val="single" w:color="auto" w:sz="4" w:space="0"/>
              <w:tl2br w:val="nil"/>
              <w:tr2bl w:val="nil"/>
            </w:tcBorders>
            <w:shd w:val="clear" w:color="auto" w:fill="FFFFFF"/>
            <w:vAlign w:val="center"/>
          </w:tcPr>
          <w:p w14:paraId="25B257F2">
            <w:pPr>
              <w:widowControl/>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54</w:t>
            </w:r>
          </w:p>
        </w:tc>
        <w:tc>
          <w:tcPr>
            <w:tcW w:w="474" w:type="dxa"/>
            <w:tcBorders>
              <w:top w:val="nil"/>
              <w:left w:val="nil"/>
              <w:bottom w:val="single" w:color="auto" w:sz="4" w:space="0"/>
              <w:right w:val="single" w:color="auto" w:sz="4" w:space="0"/>
              <w:tl2br w:val="nil"/>
              <w:tr2bl w:val="nil"/>
            </w:tcBorders>
            <w:shd w:val="clear" w:color="auto" w:fill="FFFFFF"/>
            <w:vAlign w:val="center"/>
          </w:tcPr>
          <w:p w14:paraId="19616FD9">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469" w:type="dxa"/>
            <w:gridSpan w:val="2"/>
            <w:tcBorders>
              <w:top w:val="nil"/>
              <w:left w:val="nil"/>
              <w:bottom w:val="single" w:color="auto" w:sz="4" w:space="0"/>
              <w:right w:val="single" w:color="auto" w:sz="4" w:space="0"/>
              <w:tl2br w:val="nil"/>
              <w:tr2bl w:val="nil"/>
            </w:tcBorders>
            <w:shd w:val="clear" w:color="auto" w:fill="FFFFFF"/>
            <w:vAlign w:val="center"/>
          </w:tcPr>
          <w:p w14:paraId="71C2BE72">
            <w:pPr>
              <w:widowControl/>
              <w:jc w:val="center"/>
              <w:rPr>
                <w:rFonts w:ascii="宋体" w:hAnsi="宋体" w:eastAsia="宋体"/>
                <w:kern w:val="0"/>
                <w:sz w:val="18"/>
                <w:szCs w:val="18"/>
              </w:rPr>
            </w:pPr>
            <w:r>
              <w:rPr>
                <w:rFonts w:hint="eastAsia" w:ascii="宋体" w:hAnsi="宋体" w:eastAsia="宋体"/>
                <w:kern w:val="0"/>
                <w:sz w:val="18"/>
                <w:szCs w:val="18"/>
              </w:rPr>
              <w:t>　</w:t>
            </w:r>
          </w:p>
        </w:tc>
        <w:tc>
          <w:tcPr>
            <w:tcW w:w="474" w:type="dxa"/>
            <w:gridSpan w:val="2"/>
            <w:tcBorders>
              <w:top w:val="nil"/>
              <w:left w:val="nil"/>
              <w:bottom w:val="single" w:color="auto" w:sz="4" w:space="0"/>
              <w:right w:val="single" w:color="auto" w:sz="4" w:space="0"/>
              <w:tl2br w:val="nil"/>
              <w:tr2bl w:val="nil"/>
            </w:tcBorders>
            <w:shd w:val="clear" w:color="auto" w:fill="FFFFFF"/>
            <w:vAlign w:val="center"/>
          </w:tcPr>
          <w:p w14:paraId="405F3621">
            <w:pPr>
              <w:widowControl/>
              <w:jc w:val="center"/>
              <w:rPr>
                <w:rFonts w:ascii="宋体" w:hAnsi="宋体" w:eastAsia="宋体"/>
                <w:kern w:val="0"/>
                <w:sz w:val="18"/>
                <w:szCs w:val="18"/>
              </w:rPr>
            </w:pPr>
            <w:r>
              <w:rPr>
                <w:rFonts w:hint="eastAsia" w:ascii="宋体" w:hAnsi="宋体" w:eastAsia="宋体"/>
                <w:kern w:val="0"/>
                <w:sz w:val="18"/>
                <w:szCs w:val="18"/>
              </w:rPr>
              <w:t>3</w:t>
            </w:r>
          </w:p>
        </w:tc>
        <w:tc>
          <w:tcPr>
            <w:tcW w:w="969" w:type="dxa"/>
            <w:gridSpan w:val="2"/>
            <w:tcBorders>
              <w:top w:val="nil"/>
              <w:left w:val="nil"/>
              <w:bottom w:val="single" w:color="auto" w:sz="4" w:space="0"/>
              <w:right w:val="single" w:color="auto" w:sz="4" w:space="0"/>
              <w:tl2br w:val="nil"/>
              <w:tr2bl w:val="nil"/>
            </w:tcBorders>
            <w:shd w:val="clear" w:color="auto" w:fill="FFFFFF"/>
            <w:vAlign w:val="center"/>
          </w:tcPr>
          <w:p w14:paraId="0E8ADA2A">
            <w:pPr>
              <w:widowControl/>
              <w:jc w:val="center"/>
              <w:rPr>
                <w:rFonts w:ascii="宋体" w:hAnsi="宋体" w:eastAsia="宋体"/>
                <w:kern w:val="0"/>
                <w:sz w:val="18"/>
                <w:szCs w:val="18"/>
              </w:rPr>
            </w:pPr>
            <w:r>
              <w:rPr>
                <w:rFonts w:hint="eastAsia" w:ascii="宋体" w:hAnsi="宋体" w:eastAsia="宋体"/>
                <w:kern w:val="0"/>
                <w:sz w:val="18"/>
                <w:szCs w:val="18"/>
              </w:rPr>
              <w:t>8</w:t>
            </w:r>
          </w:p>
        </w:tc>
        <w:tc>
          <w:tcPr>
            <w:tcW w:w="1164" w:type="dxa"/>
            <w:vMerge w:val="continue"/>
            <w:tcBorders>
              <w:top w:val="nil"/>
              <w:left w:val="nil"/>
              <w:bottom w:val="single" w:color="auto" w:sz="4" w:space="0"/>
              <w:right w:val="single" w:color="auto" w:sz="4" w:space="0"/>
              <w:tl2br w:val="nil"/>
              <w:tr2bl w:val="nil"/>
            </w:tcBorders>
            <w:vAlign w:val="center"/>
          </w:tcPr>
          <w:p w14:paraId="5CEAD54B">
            <w:pPr>
              <w:widowControl/>
              <w:rPr>
                <w:rFonts w:ascii="宋体" w:hAnsi="宋体" w:eastAsia="宋体"/>
                <w:kern w:val="0"/>
                <w:sz w:val="18"/>
                <w:szCs w:val="18"/>
              </w:rPr>
            </w:pPr>
          </w:p>
        </w:tc>
      </w:tr>
      <w:tr w14:paraId="52E58916">
        <w:tblPrEx>
          <w:tblCellMar>
            <w:top w:w="0" w:type="dxa"/>
            <w:left w:w="108" w:type="dxa"/>
            <w:bottom w:w="0" w:type="dxa"/>
            <w:right w:w="108" w:type="dxa"/>
          </w:tblCellMar>
        </w:tblPrEx>
        <w:trPr>
          <w:trHeight w:val="284" w:hRule="atLeast"/>
        </w:trPr>
        <w:tc>
          <w:tcPr>
            <w:tcW w:w="4706" w:type="dxa"/>
            <w:gridSpan w:val="4"/>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6F5535C">
            <w:pPr>
              <w:widowControl/>
              <w:jc w:val="center"/>
              <w:rPr>
                <w:rFonts w:ascii="宋体" w:hAnsi="宋体" w:eastAsia="宋体"/>
                <w:b/>
                <w:kern w:val="0"/>
                <w:sz w:val="18"/>
                <w:szCs w:val="18"/>
              </w:rPr>
            </w:pPr>
            <w:r>
              <w:rPr>
                <w:rFonts w:hint="eastAsia" w:ascii="宋体" w:hAnsi="宋体" w:eastAsia="宋体"/>
                <w:b/>
                <w:kern w:val="0"/>
                <w:sz w:val="18"/>
                <w:szCs w:val="18"/>
              </w:rPr>
              <w:t>实训、入学教育、顶岗实习、社会实践</w:t>
            </w:r>
          </w:p>
        </w:tc>
        <w:tc>
          <w:tcPr>
            <w:tcW w:w="3106" w:type="dxa"/>
            <w:gridSpan w:val="8"/>
            <w:tcBorders>
              <w:top w:val="single" w:color="auto" w:sz="4" w:space="0"/>
              <w:left w:val="nil"/>
              <w:bottom w:val="single" w:color="auto" w:sz="4" w:space="0"/>
              <w:right w:val="single" w:color="000000" w:sz="4" w:space="0"/>
              <w:tl2br w:val="nil"/>
              <w:tr2bl w:val="nil"/>
            </w:tcBorders>
            <w:shd w:val="clear" w:color="auto" w:fill="FFFFFF"/>
            <w:vAlign w:val="center"/>
          </w:tcPr>
          <w:p w14:paraId="515435FE">
            <w:pPr>
              <w:widowControl/>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540</w:t>
            </w:r>
          </w:p>
        </w:tc>
        <w:tc>
          <w:tcPr>
            <w:tcW w:w="1164" w:type="dxa"/>
            <w:vMerge w:val="continue"/>
            <w:tcBorders>
              <w:top w:val="nil"/>
              <w:left w:val="nil"/>
              <w:bottom w:val="single" w:color="auto" w:sz="4" w:space="0"/>
              <w:right w:val="single" w:color="auto" w:sz="4" w:space="0"/>
              <w:tl2br w:val="nil"/>
              <w:tr2bl w:val="nil"/>
            </w:tcBorders>
            <w:vAlign w:val="center"/>
          </w:tcPr>
          <w:p w14:paraId="67F360B5">
            <w:pPr>
              <w:widowControl/>
              <w:rPr>
                <w:rFonts w:ascii="宋体" w:hAnsi="宋体" w:eastAsia="宋体"/>
                <w:kern w:val="0"/>
                <w:sz w:val="18"/>
                <w:szCs w:val="18"/>
              </w:rPr>
            </w:pPr>
          </w:p>
        </w:tc>
      </w:tr>
      <w:tr w14:paraId="168D056E">
        <w:tblPrEx>
          <w:tblCellMar>
            <w:top w:w="0" w:type="dxa"/>
            <w:left w:w="108" w:type="dxa"/>
            <w:bottom w:w="0" w:type="dxa"/>
            <w:right w:w="108" w:type="dxa"/>
          </w:tblCellMar>
        </w:tblPrEx>
        <w:trPr>
          <w:trHeight w:val="284" w:hRule="atLeast"/>
        </w:trPr>
        <w:tc>
          <w:tcPr>
            <w:tcW w:w="4706" w:type="dxa"/>
            <w:gridSpan w:val="4"/>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2233468">
            <w:pPr>
              <w:widowControl/>
              <w:jc w:val="center"/>
              <w:rPr>
                <w:rFonts w:ascii="宋体" w:hAnsi="宋体" w:eastAsia="宋体"/>
                <w:b/>
                <w:kern w:val="0"/>
                <w:sz w:val="18"/>
                <w:szCs w:val="18"/>
              </w:rPr>
            </w:pPr>
            <w:r>
              <w:rPr>
                <w:rFonts w:hint="eastAsia" w:ascii="宋体" w:hAnsi="宋体" w:eastAsia="宋体"/>
                <w:b/>
                <w:kern w:val="0"/>
                <w:sz w:val="18"/>
                <w:szCs w:val="18"/>
              </w:rPr>
              <w:t>总学时、周学时</w:t>
            </w:r>
          </w:p>
        </w:tc>
        <w:tc>
          <w:tcPr>
            <w:tcW w:w="720" w:type="dxa"/>
            <w:tcBorders>
              <w:top w:val="nil"/>
              <w:left w:val="nil"/>
              <w:bottom w:val="single" w:color="auto" w:sz="4" w:space="0"/>
              <w:right w:val="single" w:color="auto" w:sz="4" w:space="0"/>
              <w:tl2br w:val="nil"/>
              <w:tr2bl w:val="nil"/>
            </w:tcBorders>
            <w:shd w:val="clear" w:color="auto" w:fill="FFFFFF"/>
            <w:vAlign w:val="center"/>
          </w:tcPr>
          <w:p w14:paraId="12DCFF03">
            <w:pPr>
              <w:widowControl/>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3594</w:t>
            </w:r>
          </w:p>
        </w:tc>
        <w:tc>
          <w:tcPr>
            <w:tcW w:w="474" w:type="dxa"/>
            <w:tcBorders>
              <w:top w:val="nil"/>
              <w:left w:val="nil"/>
              <w:bottom w:val="single" w:color="auto" w:sz="4" w:space="0"/>
              <w:right w:val="single" w:color="auto" w:sz="4" w:space="0"/>
              <w:tl2br w:val="nil"/>
              <w:tr2bl w:val="nil"/>
            </w:tcBorders>
            <w:shd w:val="clear" w:color="auto" w:fill="FFFFFF"/>
            <w:vAlign w:val="center"/>
          </w:tcPr>
          <w:p w14:paraId="4FBCBBD5">
            <w:pPr>
              <w:widowControl/>
              <w:jc w:val="center"/>
              <w:rPr>
                <w:rFonts w:ascii="宋体" w:hAnsi="宋体" w:eastAsia="宋体"/>
                <w:kern w:val="0"/>
                <w:sz w:val="18"/>
                <w:szCs w:val="18"/>
              </w:rPr>
            </w:pPr>
            <w:r>
              <w:rPr>
                <w:rFonts w:hint="eastAsia" w:ascii="宋体" w:hAnsi="宋体" w:eastAsia="宋体"/>
                <w:kern w:val="0"/>
                <w:sz w:val="18"/>
                <w:szCs w:val="18"/>
              </w:rPr>
              <w:t>35</w:t>
            </w:r>
          </w:p>
        </w:tc>
        <w:tc>
          <w:tcPr>
            <w:tcW w:w="469" w:type="dxa"/>
            <w:gridSpan w:val="2"/>
            <w:tcBorders>
              <w:top w:val="nil"/>
              <w:left w:val="nil"/>
              <w:bottom w:val="single" w:color="auto" w:sz="4" w:space="0"/>
              <w:right w:val="single" w:color="auto" w:sz="4" w:space="0"/>
              <w:tl2br w:val="nil"/>
              <w:tr2bl w:val="nil"/>
            </w:tcBorders>
            <w:shd w:val="clear" w:color="auto" w:fill="FFFFFF"/>
            <w:vAlign w:val="center"/>
          </w:tcPr>
          <w:p w14:paraId="298B84F9">
            <w:pPr>
              <w:widowControl/>
              <w:jc w:val="center"/>
              <w:rPr>
                <w:rFonts w:ascii="宋体" w:hAnsi="宋体" w:eastAsia="宋体"/>
                <w:kern w:val="0"/>
                <w:sz w:val="18"/>
                <w:szCs w:val="18"/>
              </w:rPr>
            </w:pPr>
            <w:r>
              <w:rPr>
                <w:rFonts w:hint="eastAsia" w:ascii="宋体" w:hAnsi="宋体" w:eastAsia="宋体"/>
                <w:kern w:val="0"/>
                <w:sz w:val="18"/>
                <w:szCs w:val="18"/>
              </w:rPr>
              <w:t>35</w:t>
            </w:r>
          </w:p>
        </w:tc>
        <w:tc>
          <w:tcPr>
            <w:tcW w:w="474" w:type="dxa"/>
            <w:gridSpan w:val="2"/>
            <w:tcBorders>
              <w:top w:val="nil"/>
              <w:left w:val="nil"/>
              <w:bottom w:val="single" w:color="auto" w:sz="4" w:space="0"/>
              <w:right w:val="single" w:color="auto" w:sz="4" w:space="0"/>
              <w:tl2br w:val="nil"/>
              <w:tr2bl w:val="nil"/>
            </w:tcBorders>
            <w:shd w:val="clear" w:color="auto" w:fill="FFFFFF"/>
            <w:vAlign w:val="center"/>
          </w:tcPr>
          <w:p w14:paraId="145D7657">
            <w:pPr>
              <w:widowControl/>
              <w:jc w:val="center"/>
              <w:rPr>
                <w:rFonts w:ascii="宋体" w:hAnsi="宋体" w:eastAsia="宋体"/>
                <w:kern w:val="0"/>
                <w:sz w:val="18"/>
                <w:szCs w:val="18"/>
              </w:rPr>
            </w:pPr>
            <w:r>
              <w:rPr>
                <w:rFonts w:hint="eastAsia" w:ascii="宋体" w:hAnsi="宋体" w:eastAsia="宋体"/>
                <w:kern w:val="0"/>
                <w:sz w:val="18"/>
                <w:szCs w:val="18"/>
              </w:rPr>
              <w:t>39</w:t>
            </w:r>
          </w:p>
        </w:tc>
        <w:tc>
          <w:tcPr>
            <w:tcW w:w="969" w:type="dxa"/>
            <w:gridSpan w:val="2"/>
            <w:tcBorders>
              <w:top w:val="nil"/>
              <w:left w:val="nil"/>
              <w:bottom w:val="single" w:color="auto" w:sz="4" w:space="0"/>
              <w:right w:val="single" w:color="auto" w:sz="4" w:space="0"/>
              <w:tl2br w:val="nil"/>
              <w:tr2bl w:val="nil"/>
            </w:tcBorders>
            <w:shd w:val="clear" w:color="auto" w:fill="FFFFFF"/>
            <w:vAlign w:val="center"/>
          </w:tcPr>
          <w:p w14:paraId="3CFCB5A7">
            <w:pPr>
              <w:widowControl/>
              <w:jc w:val="center"/>
              <w:rPr>
                <w:rFonts w:ascii="宋体" w:hAnsi="宋体" w:eastAsia="宋体"/>
                <w:kern w:val="0"/>
                <w:sz w:val="18"/>
                <w:szCs w:val="18"/>
              </w:rPr>
            </w:pPr>
            <w:r>
              <w:rPr>
                <w:rFonts w:hint="eastAsia" w:ascii="宋体" w:hAnsi="宋体" w:eastAsia="宋体"/>
                <w:kern w:val="0"/>
                <w:sz w:val="18"/>
                <w:szCs w:val="18"/>
              </w:rPr>
              <w:t>39</w:t>
            </w:r>
          </w:p>
        </w:tc>
        <w:tc>
          <w:tcPr>
            <w:tcW w:w="1164" w:type="dxa"/>
            <w:vMerge w:val="continue"/>
            <w:tcBorders>
              <w:top w:val="nil"/>
              <w:left w:val="nil"/>
              <w:bottom w:val="single" w:color="auto" w:sz="4" w:space="0"/>
              <w:right w:val="single" w:color="auto" w:sz="4" w:space="0"/>
              <w:tl2br w:val="nil"/>
              <w:tr2bl w:val="nil"/>
            </w:tcBorders>
            <w:vAlign w:val="center"/>
          </w:tcPr>
          <w:p w14:paraId="061F0155">
            <w:pPr>
              <w:widowControl/>
              <w:rPr>
                <w:rFonts w:ascii="宋体" w:hAnsi="宋体" w:eastAsia="宋体"/>
                <w:kern w:val="0"/>
                <w:sz w:val="18"/>
                <w:szCs w:val="18"/>
              </w:rPr>
            </w:pPr>
          </w:p>
        </w:tc>
      </w:tr>
    </w:tbl>
    <w:p w14:paraId="3C28C14E">
      <w:pPr>
        <w:widowControl/>
        <w:spacing w:line="580" w:lineRule="exact"/>
        <w:rPr>
          <w:rFonts w:eastAsia="宋体" w:cs="宋体"/>
          <w:b/>
          <w:kern w:val="0"/>
          <w:sz w:val="18"/>
          <w:szCs w:val="18"/>
        </w:rPr>
      </w:pPr>
    </w:p>
    <w:p w14:paraId="3CA2CA19">
      <w:pPr>
        <w:pStyle w:val="30"/>
        <w:ind w:firstLine="640"/>
        <w:rPr>
          <w:rFonts w:hint="default"/>
        </w:rPr>
      </w:pPr>
      <w:r>
        <w:t>八、实施保障</w:t>
      </w:r>
    </w:p>
    <w:p w14:paraId="00FF2E67">
      <w:pPr>
        <w:pStyle w:val="31"/>
        <w:rPr>
          <w:rFonts w:hint="default"/>
        </w:rPr>
      </w:pPr>
      <w:r>
        <w:t>（一）教学计划</w:t>
      </w:r>
    </w:p>
    <w:p w14:paraId="083333CA">
      <w:pPr>
        <w:pStyle w:val="34"/>
      </w:pPr>
      <w:r>
        <w:rPr>
          <w:rFonts w:hint="eastAsia"/>
        </w:rPr>
        <w:t>1.各学校依据本教学指导方案，制定实施性的教学计划，各校在制定实施性教学计划时，要结合本地实际情况和学校的办学特色。各课程学时视学生的认知程度、帅资队伍状况、社会需要及本校实习实训设备情况酌量增减。</w:t>
      </w:r>
    </w:p>
    <w:p w14:paraId="079F911B">
      <w:pPr>
        <w:pStyle w:val="34"/>
      </w:pPr>
      <w:r>
        <w:rPr>
          <w:rFonts w:hint="eastAsia"/>
        </w:rPr>
        <w:t>2.根据人才培养规格要求和本专业教学特点，可把公共基础课程或部分专业基础课程放在第一学年完成，第二、第三学年按照培养目标安排技能方向课程和毕业顶岗实习等。</w:t>
      </w:r>
    </w:p>
    <w:p w14:paraId="589ACFB7">
      <w:pPr>
        <w:pStyle w:val="34"/>
      </w:pPr>
      <w:r>
        <w:rPr>
          <w:rFonts w:hint="eastAsia"/>
        </w:rPr>
        <w:t>3.学校既可根据学生个性发展、岗位需求，以及学校实际办学条件和学生就业情况，设置校企合作特色课程，也可根据企业用人要求，开展订单式人才培养，自主没置学校特色课程。</w:t>
      </w:r>
    </w:p>
    <w:p w14:paraId="2DD7106D">
      <w:pPr>
        <w:pStyle w:val="34"/>
      </w:pPr>
      <w:r>
        <w:rPr>
          <w:rFonts w:hint="eastAsia"/>
        </w:rPr>
        <w:t>4.在教学实施前，学校应组织任课教师进行教学设计，制定课程实施的具体方案，细化考核标准和确定评价方法。</w:t>
      </w:r>
    </w:p>
    <w:p w14:paraId="3C401450">
      <w:pPr>
        <w:pStyle w:val="31"/>
        <w:rPr>
          <w:rFonts w:hint="default"/>
        </w:rPr>
      </w:pPr>
      <w:r>
        <w:t>(二)教学方法</w:t>
      </w:r>
    </w:p>
    <w:p w14:paraId="61E272A8">
      <w:pPr>
        <w:pStyle w:val="34"/>
      </w:pPr>
      <w:r>
        <w:rPr>
          <w:rFonts w:hint="eastAsia"/>
        </w:rPr>
        <w:t>教师应依据专业培养目标、课程教学要求、学生能力与教学资源，采用适当的教学方法，以达到教学的预期目标。</w:t>
      </w:r>
    </w:p>
    <w:p w14:paraId="326F326C">
      <w:pPr>
        <w:pStyle w:val="34"/>
      </w:pPr>
      <w:r>
        <w:rPr>
          <w:rFonts w:hint="eastAsia"/>
        </w:rPr>
        <w:t>1.公共基础课程可采用讲授式、启发式等教学方法，通过集中讲解、小组讨论、演讲竞赛等形式，调动学生的学习积极性。提升学生的人文素养，为专业技能课程的学习奠定基础。</w:t>
      </w:r>
    </w:p>
    <w:p w14:paraId="38BA9AF6">
      <w:pPr>
        <w:pStyle w:val="34"/>
      </w:pPr>
      <w:r>
        <w:rPr>
          <w:rFonts w:hint="eastAsia"/>
        </w:rPr>
        <w:t>2.学业技能课程可采用任务驱动、案例教学、项目教学、情境模拟等教学方法，通过集中讲解、小组讨论、案例分析、模拟实训等形式，实现教、学、做一体化，突出技能培养日标，注重对学生实际操作能力的培养。</w:t>
      </w:r>
    </w:p>
    <w:p w14:paraId="45110E70">
      <w:pPr>
        <w:pStyle w:val="31"/>
        <w:rPr>
          <w:rFonts w:hint="default"/>
        </w:rPr>
      </w:pPr>
      <w:r>
        <w:t>(三)教学评价</w:t>
      </w:r>
    </w:p>
    <w:p w14:paraId="63DEE554">
      <w:pPr>
        <w:pStyle w:val="34"/>
      </w:pPr>
      <w:r>
        <w:rPr>
          <w:rFonts w:hint="eastAsia"/>
        </w:rPr>
        <w:t>1.坚持事前评价与事后评价相结合、过程评价与结果评价相结合、定性评价与定量评价相结合、主观评价与客观评价相结合的多元化评价原则。</w:t>
      </w:r>
    </w:p>
    <w:p w14:paraId="0F7BD569">
      <w:pPr>
        <w:pStyle w:val="34"/>
      </w:pPr>
      <w:r>
        <w:rPr>
          <w:rFonts w:hint="eastAsia"/>
        </w:rPr>
        <w:t>2.实行专业基础知识考试、实训考核与日常评价相结合的评价方法，以利于学生综合职业能力的发展。</w:t>
      </w:r>
    </w:p>
    <w:p w14:paraId="04E13C6D">
      <w:pPr>
        <w:pStyle w:val="34"/>
      </w:pPr>
      <w:r>
        <w:rPr>
          <w:rFonts w:hint="eastAsia"/>
        </w:rPr>
        <w:t>3.专业基础知识部分的考核可以采用课堂综合表现评价、作业评价、学习效果课堂展示、综合笔试等多种评价方法。笔试主要针对各部分的基本知识进行命题。</w:t>
      </w:r>
    </w:p>
    <w:p w14:paraId="3C08B3C5">
      <w:pPr>
        <w:pStyle w:val="34"/>
      </w:pPr>
      <w:r>
        <w:rPr>
          <w:rFonts w:hint="eastAsia"/>
        </w:rPr>
        <w:t>4.实践部分采用过程性评价和成果考核相结合的方式。实践考试要设计便于操作的考题和细化的评分标准。</w:t>
      </w:r>
    </w:p>
    <w:p w14:paraId="6C711096">
      <w:pPr>
        <w:pStyle w:val="31"/>
        <w:rPr>
          <w:rFonts w:hint="default"/>
        </w:rPr>
      </w:pPr>
      <w:r>
        <w:t>(四)教材编选</w:t>
      </w:r>
    </w:p>
    <w:p w14:paraId="1206E930">
      <w:pPr>
        <w:pStyle w:val="34"/>
      </w:pPr>
      <w:r>
        <w:rPr>
          <w:rFonts w:hint="eastAsia"/>
        </w:rPr>
        <w:t>1.专业技能课程教材及相应的教辅资料应以本教指导方案的要求为依据进行编写。</w:t>
      </w:r>
    </w:p>
    <w:p w14:paraId="0D5C45B3">
      <w:pPr>
        <w:pStyle w:val="34"/>
      </w:pPr>
      <w:r>
        <w:rPr>
          <w:rFonts w:hint="eastAsia"/>
        </w:rPr>
        <w:t>2.教材应充分体现项目引领、任务驱动、理实一体的设计理念，以会计岗位群为核心，以岗位实践操作内容为主体，结合相关岗位职业资格证书的考核要求，合理安排教材内容。</w:t>
      </w:r>
    </w:p>
    <w:p w14:paraId="035744E2">
      <w:pPr>
        <w:pStyle w:val="34"/>
      </w:pPr>
      <w:r>
        <w:rPr>
          <w:rFonts w:hint="eastAsia"/>
        </w:rPr>
        <w:t>3.教材在内容上应具有实用性和可操作性，要注重把会计职业基础知识与实践中的新知识、新技术、新设备等融入教材中，使教材能更贴近实际需要。</w:t>
      </w:r>
    </w:p>
    <w:p w14:paraId="0B2D0943">
      <w:pPr>
        <w:pStyle w:val="31"/>
        <w:rPr>
          <w:rFonts w:hint="default"/>
        </w:rPr>
      </w:pPr>
      <w:r>
        <w:t>(五)教学设备</w:t>
      </w:r>
    </w:p>
    <w:p w14:paraId="79D39E35">
      <w:pPr>
        <w:pStyle w:val="34"/>
      </w:pPr>
      <w:r>
        <w:rPr>
          <w:rFonts w:hint="eastAsia"/>
        </w:rPr>
        <w:t xml:space="preserve"> 本教学指导方案配备有技能实训室设备配备标准，这教学计划实施的基本条件。各学校应根据本校实际，尽可能地按照标准的要求配备相关资源，以确保教学计划的实施。</w:t>
      </w:r>
    </w:p>
    <w:p w14:paraId="65DD86FD">
      <w:pPr>
        <w:pStyle w:val="34"/>
        <w:rPr>
          <w:sz w:val="28"/>
          <w:szCs w:val="28"/>
        </w:rPr>
      </w:pPr>
      <w:r>
        <w:rPr>
          <w:sz w:val="28"/>
          <w:szCs w:val="28"/>
        </w:rPr>
        <w:br w:type="page"/>
      </w:r>
    </w:p>
    <w:p w14:paraId="676EAEE8">
      <w:pPr>
        <w:spacing w:line="580" w:lineRule="exact"/>
        <w:ind w:firstLine="880"/>
        <w:jc w:val="center"/>
        <w:rPr>
          <w:rFonts w:ascii="方正小标宋简体" w:hAnsi="黑体" w:eastAsia="方正小标宋简体"/>
          <w:sz w:val="44"/>
          <w:szCs w:val="44"/>
        </w:rPr>
      </w:pPr>
      <w:r>
        <w:rPr>
          <w:rFonts w:hint="eastAsia" w:ascii="方正小标宋简体" w:hAnsi="黑体" w:eastAsia="方正小标宋简体"/>
          <w:sz w:val="44"/>
          <w:szCs w:val="44"/>
        </w:rPr>
        <w:t>专业主干课程标准</w:t>
      </w:r>
    </w:p>
    <w:p w14:paraId="5B72F067">
      <w:pPr>
        <w:spacing w:line="580" w:lineRule="exact"/>
        <w:ind w:firstLine="880"/>
        <w:jc w:val="center"/>
        <w:rPr>
          <w:rFonts w:ascii="方正小标宋简体" w:hAnsi="黑体" w:eastAsia="方正小标宋简体"/>
          <w:sz w:val="44"/>
          <w:szCs w:val="44"/>
        </w:rPr>
      </w:pPr>
      <w:r>
        <w:rPr>
          <w:rFonts w:hint="eastAsia" w:ascii="方正小标宋简体" w:hAnsi="黑体" w:eastAsia="方正小标宋简体"/>
          <w:sz w:val="44"/>
          <w:szCs w:val="44"/>
        </w:rPr>
        <w:t>《基础会计》课程标准</w:t>
      </w:r>
    </w:p>
    <w:p w14:paraId="2972B431">
      <w:pPr>
        <w:pStyle w:val="30"/>
        <w:ind w:firstLine="640"/>
        <w:rPr>
          <w:rFonts w:hint="default"/>
        </w:rPr>
      </w:pPr>
      <w:r>
        <w:t>一、概述</w:t>
      </w:r>
    </w:p>
    <w:p w14:paraId="067ECB1B">
      <w:pPr>
        <w:pStyle w:val="31"/>
        <w:numPr>
          <w:ilvl w:val="0"/>
          <w:numId w:val="1"/>
        </w:numPr>
        <w:rPr>
          <w:rFonts w:hint="default"/>
        </w:rPr>
      </w:pPr>
      <w:r>
        <w:t>课程性质</w:t>
      </w:r>
    </w:p>
    <w:p w14:paraId="395747E9">
      <w:pPr>
        <w:pStyle w:val="34"/>
      </w:pPr>
      <w:r>
        <w:rPr>
          <w:rFonts w:hint="eastAsia"/>
        </w:rPr>
        <w:t>本课程既是财经类专业的专业基础课，又是初级会计岗位职业能力的“成型”课程，既是会计“基本技能、基本理论、基本知识”的载体，还是会计专业认同、初级会计岗位职业技能训练的载体．因此，学生努力学好本门课程，为后续课程的学习打下坚实基础</w:t>
      </w:r>
    </w:p>
    <w:p w14:paraId="4ADC562D">
      <w:pPr>
        <w:pStyle w:val="31"/>
        <w:rPr>
          <w:rFonts w:hint="default" w:ascii="Calibri" w:hAnsi="Calibri" w:eastAsia="仿宋_GB2312"/>
        </w:rPr>
      </w:pPr>
      <w:r>
        <w:t>（二）课程基本理念</w:t>
      </w:r>
    </w:p>
    <w:p w14:paraId="5024DB76">
      <w:pPr>
        <w:pStyle w:val="34"/>
      </w:pPr>
      <w:r>
        <w:rPr>
          <w:rFonts w:hint="eastAsia"/>
        </w:rPr>
        <w:t>本课程以“实现认同职业角色、夯实专业基础、履行岗位能力、把握初级会计岗位专业技术”等四个方面为基本目标，彻底打破按学科和理论体系设计课程的模式，以学生的认知规律“会计职业认知</w:t>
      </w:r>
      <w:r>
        <w:t>—</w:t>
      </w:r>
      <w:r>
        <w:rPr>
          <w:rFonts w:hint="eastAsia"/>
        </w:rPr>
        <w:t>会计出纳岗位</w:t>
      </w:r>
      <w:r>
        <w:t>—</w:t>
      </w:r>
      <w:r>
        <w:rPr>
          <w:rFonts w:hint="eastAsia"/>
        </w:rPr>
        <w:t>会计记账岗位</w:t>
      </w:r>
      <w:r>
        <w:t>—</w:t>
      </w:r>
      <w:r>
        <w:rPr>
          <w:rFonts w:hint="eastAsia"/>
        </w:rPr>
        <w:t>会计理论和知识基础”为主线设计学习内容，依据初级会计岗位群的工作任务和为学习其他专业课程基础需要来选择和组织课程内容。</w:t>
      </w:r>
    </w:p>
    <w:p w14:paraId="3BB8A89E">
      <w:pPr>
        <w:pStyle w:val="31"/>
        <w:rPr>
          <w:rFonts w:hint="default"/>
        </w:rPr>
      </w:pPr>
      <w:r>
        <w:t>(三)课程设计思路</w:t>
      </w:r>
    </w:p>
    <w:p w14:paraId="55548B4A">
      <w:pPr>
        <w:pStyle w:val="34"/>
      </w:pPr>
      <w:r>
        <w:t xml:space="preserve"> 1.</w:t>
      </w:r>
      <w:r>
        <w:rPr>
          <w:rFonts w:hint="eastAsia"/>
        </w:rPr>
        <w:t>本课程的设计总体要求是：以就业为导向，以能力为本位，以职业技能为主线，以模块课程为主题，以会计岗位从业资格为主要考核依据，以夯实基础、适应岗位为目标，尽可能形成模块化课程体系。</w:t>
      </w:r>
    </w:p>
    <w:p w14:paraId="375E6141">
      <w:pPr>
        <w:pStyle w:val="34"/>
      </w:pPr>
      <w:r>
        <w:t>2.</w:t>
      </w:r>
      <w:r>
        <w:rPr>
          <w:rFonts w:hint="eastAsia"/>
        </w:rPr>
        <w:t>具体学习内容的选择：</w:t>
      </w:r>
      <w:r>
        <w:t>—</w:t>
      </w:r>
      <w:r>
        <w:rPr>
          <w:rFonts w:hint="eastAsia"/>
        </w:rPr>
        <w:t>是按照“认知会计职业、训练会计基本技能、理解会计专门方法、运用会计专门方法、记账员能力培养、初级会计岗位工作任务、会计基础理论和知识”的逻辑顺序；二是从基础知识体系构建角度，保持会计的基本技能、基本知识、基本理论之间的内在必然关系。</w:t>
      </w:r>
    </w:p>
    <w:p w14:paraId="3C7947E1">
      <w:pPr>
        <w:pStyle w:val="34"/>
      </w:pPr>
      <w:r>
        <w:t>3.</w:t>
      </w:r>
      <w:r>
        <w:rPr>
          <w:rFonts w:hint="eastAsia"/>
        </w:rPr>
        <w:t>根据会计人员岗位的工作需要，在学习该课程后，可以根据人才培养方案的整体安排，参加“会计人员从业资格证书”考试。</w:t>
      </w:r>
    </w:p>
    <w:p w14:paraId="2651C82D">
      <w:pPr>
        <w:pStyle w:val="34"/>
      </w:pPr>
      <w:r>
        <w:t>4.</w:t>
      </w:r>
      <w:r>
        <w:rPr>
          <w:rFonts w:hint="eastAsia"/>
        </w:rPr>
        <w:t>按照“体现学生学习主体地位，使课程内容具有实践性、层次性、趣味性”的教学组织要求，开发与本课程标准相适应的“理实一体化”教材。</w:t>
      </w:r>
    </w:p>
    <w:p w14:paraId="10905ABB">
      <w:pPr>
        <w:pStyle w:val="34"/>
      </w:pPr>
      <w:r>
        <w:rPr>
          <w:rFonts w:hint="eastAsia"/>
        </w:rPr>
        <w:t>参考学时及学分：</w:t>
      </w:r>
      <w:r>
        <w:t>84</w:t>
      </w:r>
      <w:r>
        <w:rPr>
          <w:rFonts w:hint="eastAsia"/>
        </w:rPr>
        <w:t>学时</w:t>
      </w:r>
      <w:r>
        <w:t xml:space="preserve">  6</w:t>
      </w:r>
      <w:r>
        <w:rPr>
          <w:rFonts w:hint="eastAsia"/>
        </w:rPr>
        <w:t>学分</w:t>
      </w:r>
    </w:p>
    <w:p w14:paraId="4DE18D5A">
      <w:pPr>
        <w:spacing w:line="580" w:lineRule="exact"/>
        <w:ind w:firstLine="640"/>
        <w:rPr>
          <w:rFonts w:ascii="仿宋" w:hAnsi="仿宋" w:eastAsia="仿宋"/>
          <w:sz w:val="32"/>
          <w:szCs w:val="32"/>
        </w:rPr>
      </w:pPr>
      <w:r>
        <w:rPr>
          <w:rFonts w:hint="eastAsia" w:ascii="仿宋" w:hAnsi="仿宋" w:eastAsia="仿宋"/>
          <w:sz w:val="32"/>
          <w:szCs w:val="32"/>
        </w:rPr>
        <w:t>课时安排如下：</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9"/>
        <w:gridCol w:w="2601"/>
        <w:gridCol w:w="1012"/>
        <w:gridCol w:w="1171"/>
        <w:gridCol w:w="1169"/>
      </w:tblGrid>
      <w:tr w14:paraId="6FCD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0" w:type="dxa"/>
            <w:gridSpan w:val="2"/>
            <w:tcBorders>
              <w:top w:val="single" w:color="auto" w:sz="4" w:space="0"/>
              <w:left w:val="single" w:color="auto" w:sz="4" w:space="0"/>
              <w:bottom w:val="single" w:color="auto" w:sz="4" w:space="0"/>
              <w:right w:val="single" w:color="auto" w:sz="4" w:space="0"/>
              <w:tl2br w:val="nil"/>
              <w:tr2bl w:val="nil"/>
            </w:tcBorders>
          </w:tcPr>
          <w:p w14:paraId="1F4392FE">
            <w:pPr>
              <w:spacing w:line="580" w:lineRule="exact"/>
              <w:ind w:firstLine="360"/>
              <w:rPr>
                <w:rFonts w:ascii="宋体" w:hAnsi="宋体" w:eastAsia="宋体"/>
                <w:sz w:val="18"/>
                <w:szCs w:val="18"/>
              </w:rPr>
            </w:pPr>
            <w:r>
              <w:rPr>
                <w:rFonts w:hint="eastAsia" w:ascii="宋体" w:hAnsi="宋体" w:eastAsia="宋体"/>
                <w:sz w:val="18"/>
                <w:szCs w:val="18"/>
              </w:rPr>
              <w:t>学习内容</w:t>
            </w:r>
          </w:p>
        </w:tc>
        <w:tc>
          <w:tcPr>
            <w:tcW w:w="1012" w:type="dxa"/>
            <w:tcBorders>
              <w:top w:val="single" w:color="auto" w:sz="4" w:space="0"/>
              <w:left w:val="single" w:color="auto" w:sz="4" w:space="0"/>
              <w:bottom w:val="single" w:color="auto" w:sz="4" w:space="0"/>
              <w:right w:val="single" w:color="auto" w:sz="4" w:space="0"/>
              <w:tl2br w:val="nil"/>
              <w:tr2bl w:val="nil"/>
            </w:tcBorders>
          </w:tcPr>
          <w:p w14:paraId="3A2707CF">
            <w:pPr>
              <w:spacing w:line="580" w:lineRule="exact"/>
              <w:rPr>
                <w:rFonts w:ascii="宋体" w:hAnsi="宋体" w:eastAsia="宋体"/>
                <w:sz w:val="18"/>
                <w:szCs w:val="18"/>
              </w:rPr>
            </w:pPr>
            <w:r>
              <w:rPr>
                <w:rFonts w:hint="eastAsia" w:ascii="宋体" w:hAnsi="宋体" w:eastAsia="宋体"/>
                <w:sz w:val="18"/>
                <w:szCs w:val="18"/>
              </w:rPr>
              <w:t>总学时</w:t>
            </w:r>
          </w:p>
        </w:tc>
        <w:tc>
          <w:tcPr>
            <w:tcW w:w="1171" w:type="dxa"/>
            <w:tcBorders>
              <w:top w:val="single" w:color="auto" w:sz="4" w:space="0"/>
              <w:left w:val="single" w:color="auto" w:sz="4" w:space="0"/>
              <w:bottom w:val="single" w:color="auto" w:sz="4" w:space="0"/>
              <w:right w:val="single" w:color="auto" w:sz="4" w:space="0"/>
              <w:tl2br w:val="nil"/>
              <w:tr2bl w:val="nil"/>
            </w:tcBorders>
          </w:tcPr>
          <w:p w14:paraId="28206F51">
            <w:pPr>
              <w:spacing w:line="580" w:lineRule="exact"/>
              <w:rPr>
                <w:rFonts w:ascii="宋体" w:hAnsi="宋体" w:eastAsia="宋体"/>
                <w:sz w:val="18"/>
                <w:szCs w:val="18"/>
              </w:rPr>
            </w:pPr>
            <w:r>
              <w:rPr>
                <w:rFonts w:hint="eastAsia" w:ascii="宋体" w:hAnsi="宋体" w:eastAsia="宋体"/>
                <w:sz w:val="18"/>
                <w:szCs w:val="18"/>
              </w:rPr>
              <w:t>理论学时</w:t>
            </w:r>
          </w:p>
        </w:tc>
        <w:tc>
          <w:tcPr>
            <w:tcW w:w="1169" w:type="dxa"/>
            <w:tcBorders>
              <w:top w:val="single" w:color="auto" w:sz="4" w:space="0"/>
              <w:left w:val="single" w:color="auto" w:sz="4" w:space="0"/>
              <w:bottom w:val="single" w:color="auto" w:sz="4" w:space="0"/>
              <w:right w:val="single" w:color="auto" w:sz="4" w:space="0"/>
              <w:tl2br w:val="nil"/>
              <w:tr2bl w:val="nil"/>
            </w:tcBorders>
          </w:tcPr>
          <w:p w14:paraId="1FA8E26F">
            <w:pPr>
              <w:spacing w:line="580" w:lineRule="exact"/>
              <w:rPr>
                <w:rFonts w:ascii="宋体" w:hAnsi="宋体" w:eastAsia="宋体"/>
                <w:sz w:val="18"/>
                <w:szCs w:val="18"/>
              </w:rPr>
            </w:pPr>
            <w:r>
              <w:rPr>
                <w:rFonts w:hint="eastAsia" w:ascii="宋体" w:hAnsi="宋体" w:eastAsia="宋体"/>
                <w:sz w:val="18"/>
                <w:szCs w:val="18"/>
              </w:rPr>
              <w:t>实训学时</w:t>
            </w:r>
          </w:p>
        </w:tc>
      </w:tr>
      <w:tr w14:paraId="45151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trPr>
        <w:tc>
          <w:tcPr>
            <w:tcW w:w="2569" w:type="dxa"/>
            <w:vMerge w:val="restart"/>
            <w:tcBorders>
              <w:top w:val="nil"/>
              <w:left w:val="single" w:color="auto" w:sz="4" w:space="0"/>
              <w:bottom w:val="single" w:color="auto" w:sz="4" w:space="0"/>
              <w:right w:val="single" w:color="auto" w:sz="4" w:space="0"/>
              <w:tl2br w:val="nil"/>
              <w:tr2bl w:val="nil"/>
            </w:tcBorders>
            <w:vAlign w:val="center"/>
          </w:tcPr>
          <w:p w14:paraId="3BBBD145">
            <w:pPr>
              <w:spacing w:line="580" w:lineRule="exact"/>
              <w:rPr>
                <w:rFonts w:ascii="宋体" w:hAnsi="宋体" w:eastAsia="宋体"/>
                <w:sz w:val="18"/>
                <w:szCs w:val="18"/>
              </w:rPr>
            </w:pPr>
            <w:r>
              <w:rPr>
                <w:rFonts w:hint="eastAsia" w:ascii="宋体" w:hAnsi="宋体" w:eastAsia="宋体"/>
                <w:sz w:val="18"/>
                <w:szCs w:val="18"/>
              </w:rPr>
              <w:t>模块一、会计职业</w:t>
            </w:r>
          </w:p>
        </w:tc>
        <w:tc>
          <w:tcPr>
            <w:tcW w:w="2601" w:type="dxa"/>
            <w:tcBorders>
              <w:top w:val="single" w:color="auto" w:sz="4" w:space="0"/>
              <w:left w:val="single" w:color="auto" w:sz="4" w:space="0"/>
              <w:bottom w:val="single" w:color="auto" w:sz="4" w:space="0"/>
              <w:right w:val="single" w:color="auto" w:sz="4" w:space="0"/>
              <w:tl2br w:val="nil"/>
              <w:tr2bl w:val="nil"/>
            </w:tcBorders>
          </w:tcPr>
          <w:p w14:paraId="7945C62C">
            <w:pPr>
              <w:spacing w:line="580" w:lineRule="exact"/>
              <w:rPr>
                <w:rFonts w:ascii="宋体" w:hAnsi="宋体" w:eastAsia="宋体"/>
                <w:sz w:val="18"/>
                <w:szCs w:val="18"/>
              </w:rPr>
            </w:pPr>
            <w:r>
              <w:rPr>
                <w:rFonts w:hint="eastAsia" w:ascii="宋体" w:hAnsi="宋体" w:eastAsia="宋体"/>
                <w:sz w:val="18"/>
                <w:szCs w:val="18"/>
              </w:rPr>
              <w:t>会计基本涵义</w:t>
            </w:r>
          </w:p>
        </w:tc>
        <w:tc>
          <w:tcPr>
            <w:tcW w:w="1012" w:type="dxa"/>
            <w:tcBorders>
              <w:top w:val="single" w:color="auto" w:sz="4" w:space="0"/>
              <w:left w:val="single" w:color="auto" w:sz="4" w:space="0"/>
              <w:bottom w:val="single" w:color="auto" w:sz="4" w:space="0"/>
              <w:right w:val="single" w:color="auto" w:sz="4" w:space="0"/>
              <w:tl2br w:val="nil"/>
              <w:tr2bl w:val="nil"/>
            </w:tcBorders>
          </w:tcPr>
          <w:p w14:paraId="23762213">
            <w:pPr>
              <w:spacing w:line="580" w:lineRule="exact"/>
              <w:rPr>
                <w:rFonts w:ascii="宋体" w:hAnsi="宋体" w:eastAsia="宋体"/>
                <w:sz w:val="18"/>
                <w:szCs w:val="18"/>
              </w:rPr>
            </w:pPr>
            <w:r>
              <w:rPr>
                <w:rFonts w:hint="eastAsia" w:ascii="宋体" w:hAnsi="宋体" w:eastAsia="宋体"/>
                <w:sz w:val="18"/>
                <w:szCs w:val="18"/>
              </w:rPr>
              <w:t>4</w:t>
            </w:r>
          </w:p>
        </w:tc>
        <w:tc>
          <w:tcPr>
            <w:tcW w:w="1171" w:type="dxa"/>
            <w:tcBorders>
              <w:top w:val="single" w:color="auto" w:sz="4" w:space="0"/>
              <w:left w:val="single" w:color="auto" w:sz="4" w:space="0"/>
              <w:bottom w:val="single" w:color="auto" w:sz="4" w:space="0"/>
              <w:right w:val="single" w:color="auto" w:sz="4" w:space="0"/>
              <w:tl2br w:val="nil"/>
              <w:tr2bl w:val="nil"/>
            </w:tcBorders>
          </w:tcPr>
          <w:p w14:paraId="17547F3F">
            <w:pPr>
              <w:spacing w:line="580" w:lineRule="exact"/>
              <w:rPr>
                <w:rFonts w:ascii="宋体" w:hAnsi="宋体" w:eastAsia="宋体"/>
                <w:sz w:val="18"/>
                <w:szCs w:val="18"/>
              </w:rPr>
            </w:pPr>
            <w:r>
              <w:rPr>
                <w:rFonts w:hint="eastAsia" w:ascii="宋体" w:hAnsi="宋体" w:eastAsia="宋体"/>
                <w:sz w:val="18"/>
                <w:szCs w:val="18"/>
              </w:rPr>
              <w:t>4</w:t>
            </w:r>
          </w:p>
        </w:tc>
        <w:tc>
          <w:tcPr>
            <w:tcW w:w="1169" w:type="dxa"/>
            <w:tcBorders>
              <w:top w:val="single" w:color="auto" w:sz="4" w:space="0"/>
              <w:left w:val="single" w:color="auto" w:sz="4" w:space="0"/>
              <w:bottom w:val="single" w:color="auto" w:sz="4" w:space="0"/>
              <w:right w:val="single" w:color="auto" w:sz="4" w:space="0"/>
              <w:tl2br w:val="nil"/>
              <w:tr2bl w:val="nil"/>
            </w:tcBorders>
          </w:tcPr>
          <w:p w14:paraId="04DAF630">
            <w:pPr>
              <w:spacing w:line="580" w:lineRule="exact"/>
              <w:rPr>
                <w:rFonts w:ascii="宋体" w:hAnsi="宋体" w:eastAsia="宋体"/>
                <w:sz w:val="18"/>
                <w:szCs w:val="18"/>
              </w:rPr>
            </w:pPr>
          </w:p>
        </w:tc>
      </w:tr>
      <w:tr w14:paraId="22191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70" w:type="dxa"/>
            <w:vMerge w:val="continue"/>
            <w:tcBorders>
              <w:top w:val="nil"/>
              <w:left w:val="single" w:color="auto" w:sz="4" w:space="0"/>
              <w:bottom w:val="single" w:color="auto" w:sz="4" w:space="0"/>
              <w:right w:val="single" w:color="auto" w:sz="4" w:space="0"/>
              <w:tl2br w:val="nil"/>
              <w:tr2bl w:val="nil"/>
            </w:tcBorders>
            <w:vAlign w:val="center"/>
          </w:tcPr>
          <w:p w14:paraId="7EBAA146">
            <w:pPr>
              <w:widowControl/>
              <w:rPr>
                <w:rFonts w:ascii="宋体" w:hAnsi="宋体" w:eastAsia="宋体"/>
                <w:sz w:val="18"/>
                <w:szCs w:val="18"/>
              </w:rPr>
            </w:pPr>
          </w:p>
        </w:tc>
        <w:tc>
          <w:tcPr>
            <w:tcW w:w="2601" w:type="dxa"/>
            <w:tcBorders>
              <w:top w:val="single" w:color="auto" w:sz="4" w:space="0"/>
              <w:left w:val="single" w:color="auto" w:sz="4" w:space="0"/>
              <w:bottom w:val="single" w:color="auto" w:sz="4" w:space="0"/>
              <w:right w:val="single" w:color="auto" w:sz="4" w:space="0"/>
              <w:tl2br w:val="nil"/>
              <w:tr2bl w:val="nil"/>
            </w:tcBorders>
          </w:tcPr>
          <w:p w14:paraId="5D69FAFC">
            <w:pPr>
              <w:spacing w:line="580" w:lineRule="exact"/>
              <w:rPr>
                <w:rFonts w:ascii="宋体" w:hAnsi="宋体" w:eastAsia="宋体"/>
                <w:sz w:val="18"/>
                <w:szCs w:val="18"/>
              </w:rPr>
            </w:pPr>
            <w:r>
              <w:rPr>
                <w:rFonts w:hint="eastAsia" w:ascii="宋体" w:hAnsi="宋体" w:eastAsia="宋体"/>
                <w:sz w:val="18"/>
                <w:szCs w:val="18"/>
              </w:rPr>
              <w:t>会计职业岗位</w:t>
            </w:r>
          </w:p>
        </w:tc>
        <w:tc>
          <w:tcPr>
            <w:tcW w:w="1012" w:type="dxa"/>
            <w:tcBorders>
              <w:top w:val="single" w:color="auto" w:sz="4" w:space="0"/>
              <w:left w:val="single" w:color="auto" w:sz="4" w:space="0"/>
              <w:bottom w:val="single" w:color="auto" w:sz="4" w:space="0"/>
              <w:right w:val="single" w:color="auto" w:sz="4" w:space="0"/>
              <w:tl2br w:val="nil"/>
              <w:tr2bl w:val="nil"/>
            </w:tcBorders>
          </w:tcPr>
          <w:p w14:paraId="54E5E78C">
            <w:pPr>
              <w:spacing w:line="580" w:lineRule="exact"/>
              <w:rPr>
                <w:rFonts w:ascii="宋体" w:hAnsi="宋体" w:eastAsia="宋体"/>
                <w:sz w:val="18"/>
                <w:szCs w:val="18"/>
              </w:rPr>
            </w:pPr>
            <w:r>
              <w:rPr>
                <w:rFonts w:hint="eastAsia" w:ascii="宋体" w:hAnsi="宋体" w:eastAsia="宋体"/>
                <w:sz w:val="18"/>
                <w:szCs w:val="18"/>
              </w:rPr>
              <w:t>2</w:t>
            </w:r>
          </w:p>
        </w:tc>
        <w:tc>
          <w:tcPr>
            <w:tcW w:w="1171" w:type="dxa"/>
            <w:tcBorders>
              <w:top w:val="single" w:color="auto" w:sz="4" w:space="0"/>
              <w:left w:val="single" w:color="auto" w:sz="4" w:space="0"/>
              <w:bottom w:val="single" w:color="auto" w:sz="4" w:space="0"/>
              <w:right w:val="single" w:color="auto" w:sz="4" w:space="0"/>
              <w:tl2br w:val="nil"/>
              <w:tr2bl w:val="nil"/>
            </w:tcBorders>
          </w:tcPr>
          <w:p w14:paraId="58D0246D">
            <w:pPr>
              <w:spacing w:line="580" w:lineRule="exact"/>
              <w:rPr>
                <w:rFonts w:ascii="宋体" w:hAnsi="宋体" w:eastAsia="宋体"/>
                <w:sz w:val="18"/>
                <w:szCs w:val="18"/>
              </w:rPr>
            </w:pPr>
            <w:r>
              <w:rPr>
                <w:rFonts w:hint="eastAsia" w:ascii="宋体" w:hAnsi="宋体" w:eastAsia="宋体"/>
                <w:sz w:val="18"/>
                <w:szCs w:val="18"/>
              </w:rPr>
              <w:t>2</w:t>
            </w:r>
          </w:p>
        </w:tc>
        <w:tc>
          <w:tcPr>
            <w:tcW w:w="1169" w:type="dxa"/>
            <w:tcBorders>
              <w:top w:val="single" w:color="auto" w:sz="4" w:space="0"/>
              <w:left w:val="single" w:color="auto" w:sz="4" w:space="0"/>
              <w:bottom w:val="single" w:color="auto" w:sz="4" w:space="0"/>
              <w:right w:val="single" w:color="auto" w:sz="4" w:space="0"/>
              <w:tl2br w:val="nil"/>
              <w:tr2bl w:val="nil"/>
            </w:tcBorders>
          </w:tcPr>
          <w:p w14:paraId="0BC17A42">
            <w:pPr>
              <w:spacing w:line="580" w:lineRule="exact"/>
              <w:rPr>
                <w:rFonts w:ascii="宋体" w:hAnsi="宋体" w:eastAsia="宋体"/>
                <w:sz w:val="18"/>
                <w:szCs w:val="18"/>
              </w:rPr>
            </w:pPr>
          </w:p>
        </w:tc>
      </w:tr>
      <w:tr w14:paraId="254A0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70" w:type="dxa"/>
            <w:vMerge w:val="continue"/>
            <w:tcBorders>
              <w:top w:val="nil"/>
              <w:left w:val="single" w:color="auto" w:sz="4" w:space="0"/>
              <w:bottom w:val="single" w:color="auto" w:sz="4" w:space="0"/>
              <w:right w:val="single" w:color="auto" w:sz="4" w:space="0"/>
              <w:tl2br w:val="nil"/>
              <w:tr2bl w:val="nil"/>
            </w:tcBorders>
            <w:vAlign w:val="center"/>
          </w:tcPr>
          <w:p w14:paraId="7C018455">
            <w:pPr>
              <w:widowControl/>
              <w:rPr>
                <w:rFonts w:ascii="宋体" w:hAnsi="宋体" w:eastAsia="宋体"/>
                <w:sz w:val="18"/>
                <w:szCs w:val="18"/>
              </w:rPr>
            </w:pPr>
          </w:p>
        </w:tc>
        <w:tc>
          <w:tcPr>
            <w:tcW w:w="2601" w:type="dxa"/>
            <w:tcBorders>
              <w:top w:val="single" w:color="auto" w:sz="4" w:space="0"/>
              <w:left w:val="single" w:color="auto" w:sz="4" w:space="0"/>
              <w:bottom w:val="single" w:color="auto" w:sz="4" w:space="0"/>
              <w:right w:val="single" w:color="auto" w:sz="4" w:space="0"/>
              <w:tl2br w:val="nil"/>
              <w:tr2bl w:val="nil"/>
            </w:tcBorders>
          </w:tcPr>
          <w:p w14:paraId="0E82CD41">
            <w:pPr>
              <w:spacing w:line="580" w:lineRule="exact"/>
              <w:rPr>
                <w:rFonts w:ascii="宋体" w:hAnsi="宋体" w:eastAsia="宋体"/>
                <w:sz w:val="18"/>
                <w:szCs w:val="18"/>
              </w:rPr>
            </w:pPr>
            <w:r>
              <w:rPr>
                <w:rFonts w:hint="eastAsia" w:ascii="宋体" w:hAnsi="宋体" w:eastAsia="宋体"/>
                <w:sz w:val="18"/>
                <w:szCs w:val="18"/>
              </w:rPr>
              <w:t>会计基本原则</w:t>
            </w:r>
          </w:p>
        </w:tc>
        <w:tc>
          <w:tcPr>
            <w:tcW w:w="1012" w:type="dxa"/>
            <w:tcBorders>
              <w:top w:val="single" w:color="auto" w:sz="4" w:space="0"/>
              <w:left w:val="single" w:color="auto" w:sz="4" w:space="0"/>
              <w:bottom w:val="single" w:color="auto" w:sz="4" w:space="0"/>
              <w:right w:val="single" w:color="auto" w:sz="4" w:space="0"/>
              <w:tl2br w:val="nil"/>
              <w:tr2bl w:val="nil"/>
            </w:tcBorders>
          </w:tcPr>
          <w:p w14:paraId="2067B9D3">
            <w:pPr>
              <w:spacing w:line="580" w:lineRule="exact"/>
              <w:rPr>
                <w:rFonts w:ascii="宋体" w:hAnsi="宋体" w:eastAsia="宋体"/>
                <w:sz w:val="18"/>
                <w:szCs w:val="18"/>
              </w:rPr>
            </w:pPr>
            <w:r>
              <w:rPr>
                <w:rFonts w:hint="eastAsia" w:ascii="宋体" w:hAnsi="宋体" w:eastAsia="宋体"/>
                <w:sz w:val="18"/>
                <w:szCs w:val="18"/>
              </w:rPr>
              <w:t>4</w:t>
            </w:r>
          </w:p>
        </w:tc>
        <w:tc>
          <w:tcPr>
            <w:tcW w:w="1171" w:type="dxa"/>
            <w:tcBorders>
              <w:top w:val="single" w:color="auto" w:sz="4" w:space="0"/>
              <w:left w:val="single" w:color="auto" w:sz="4" w:space="0"/>
              <w:bottom w:val="single" w:color="auto" w:sz="4" w:space="0"/>
              <w:right w:val="single" w:color="auto" w:sz="4" w:space="0"/>
              <w:tl2br w:val="nil"/>
              <w:tr2bl w:val="nil"/>
            </w:tcBorders>
          </w:tcPr>
          <w:p w14:paraId="41DC3EBD">
            <w:pPr>
              <w:spacing w:line="580" w:lineRule="exact"/>
              <w:rPr>
                <w:rFonts w:ascii="宋体" w:hAnsi="宋体" w:eastAsia="宋体"/>
                <w:sz w:val="18"/>
                <w:szCs w:val="18"/>
              </w:rPr>
            </w:pPr>
            <w:r>
              <w:rPr>
                <w:rFonts w:hint="eastAsia" w:ascii="宋体" w:hAnsi="宋体" w:eastAsia="宋体"/>
                <w:sz w:val="18"/>
                <w:szCs w:val="18"/>
              </w:rPr>
              <w:t>4</w:t>
            </w:r>
          </w:p>
        </w:tc>
        <w:tc>
          <w:tcPr>
            <w:tcW w:w="1169" w:type="dxa"/>
            <w:tcBorders>
              <w:top w:val="single" w:color="auto" w:sz="4" w:space="0"/>
              <w:left w:val="single" w:color="auto" w:sz="4" w:space="0"/>
              <w:bottom w:val="single" w:color="auto" w:sz="4" w:space="0"/>
              <w:right w:val="single" w:color="auto" w:sz="4" w:space="0"/>
              <w:tl2br w:val="nil"/>
              <w:tr2bl w:val="nil"/>
            </w:tcBorders>
          </w:tcPr>
          <w:p w14:paraId="0FAA4728">
            <w:pPr>
              <w:spacing w:line="580" w:lineRule="exact"/>
              <w:rPr>
                <w:rFonts w:ascii="宋体" w:hAnsi="宋体" w:eastAsia="宋体"/>
                <w:sz w:val="18"/>
                <w:szCs w:val="18"/>
              </w:rPr>
            </w:pPr>
          </w:p>
        </w:tc>
      </w:tr>
      <w:tr w14:paraId="064CC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69" w:type="dxa"/>
            <w:vMerge w:val="restart"/>
            <w:tcBorders>
              <w:top w:val="nil"/>
              <w:left w:val="single" w:color="auto" w:sz="4" w:space="0"/>
              <w:bottom w:val="single" w:color="auto" w:sz="4" w:space="0"/>
              <w:right w:val="single" w:color="auto" w:sz="4" w:space="0"/>
              <w:tl2br w:val="nil"/>
              <w:tr2bl w:val="nil"/>
            </w:tcBorders>
            <w:vAlign w:val="center"/>
          </w:tcPr>
          <w:p w14:paraId="27D9EE32">
            <w:pPr>
              <w:spacing w:line="580" w:lineRule="exact"/>
              <w:rPr>
                <w:rFonts w:ascii="宋体" w:hAnsi="宋体" w:eastAsia="宋体"/>
                <w:sz w:val="18"/>
                <w:szCs w:val="18"/>
              </w:rPr>
            </w:pPr>
            <w:r>
              <w:rPr>
                <w:rFonts w:hint="eastAsia" w:ascii="宋体" w:hAnsi="宋体" w:eastAsia="宋体"/>
                <w:sz w:val="18"/>
                <w:szCs w:val="18"/>
              </w:rPr>
              <w:t>模块二、会计核算基础</w:t>
            </w:r>
          </w:p>
        </w:tc>
        <w:tc>
          <w:tcPr>
            <w:tcW w:w="2601" w:type="dxa"/>
            <w:tcBorders>
              <w:top w:val="single" w:color="auto" w:sz="4" w:space="0"/>
              <w:left w:val="single" w:color="auto" w:sz="4" w:space="0"/>
              <w:bottom w:val="single" w:color="auto" w:sz="4" w:space="0"/>
              <w:right w:val="single" w:color="auto" w:sz="4" w:space="0"/>
              <w:tl2br w:val="nil"/>
              <w:tr2bl w:val="nil"/>
            </w:tcBorders>
          </w:tcPr>
          <w:p w14:paraId="080F333C">
            <w:pPr>
              <w:spacing w:line="580" w:lineRule="exact"/>
              <w:rPr>
                <w:rFonts w:ascii="宋体" w:hAnsi="宋体" w:eastAsia="宋体"/>
                <w:sz w:val="18"/>
                <w:szCs w:val="18"/>
              </w:rPr>
            </w:pPr>
            <w:r>
              <w:rPr>
                <w:rFonts w:hint="eastAsia" w:ascii="宋体" w:hAnsi="宋体" w:eastAsia="宋体"/>
                <w:sz w:val="18"/>
                <w:szCs w:val="18"/>
              </w:rPr>
              <w:t>会计要素与会计等式</w:t>
            </w:r>
          </w:p>
        </w:tc>
        <w:tc>
          <w:tcPr>
            <w:tcW w:w="1012" w:type="dxa"/>
            <w:tcBorders>
              <w:top w:val="single" w:color="auto" w:sz="4" w:space="0"/>
              <w:left w:val="single" w:color="auto" w:sz="4" w:space="0"/>
              <w:bottom w:val="single" w:color="auto" w:sz="4" w:space="0"/>
              <w:right w:val="single" w:color="auto" w:sz="4" w:space="0"/>
              <w:tl2br w:val="nil"/>
              <w:tr2bl w:val="nil"/>
            </w:tcBorders>
          </w:tcPr>
          <w:p w14:paraId="59CCE1E8">
            <w:pPr>
              <w:spacing w:line="580" w:lineRule="exact"/>
              <w:rPr>
                <w:rFonts w:ascii="宋体" w:hAnsi="宋体" w:eastAsia="宋体"/>
                <w:sz w:val="18"/>
                <w:szCs w:val="18"/>
              </w:rPr>
            </w:pPr>
            <w:r>
              <w:rPr>
                <w:rFonts w:hint="eastAsia" w:ascii="宋体" w:hAnsi="宋体" w:eastAsia="宋体"/>
                <w:sz w:val="18"/>
                <w:szCs w:val="18"/>
              </w:rPr>
              <w:t>8</w:t>
            </w:r>
          </w:p>
        </w:tc>
        <w:tc>
          <w:tcPr>
            <w:tcW w:w="1171" w:type="dxa"/>
            <w:tcBorders>
              <w:top w:val="single" w:color="auto" w:sz="4" w:space="0"/>
              <w:left w:val="single" w:color="auto" w:sz="4" w:space="0"/>
              <w:bottom w:val="single" w:color="auto" w:sz="4" w:space="0"/>
              <w:right w:val="single" w:color="auto" w:sz="4" w:space="0"/>
              <w:tl2br w:val="nil"/>
              <w:tr2bl w:val="nil"/>
            </w:tcBorders>
          </w:tcPr>
          <w:p w14:paraId="1D5BE1D2">
            <w:pPr>
              <w:spacing w:line="580" w:lineRule="exact"/>
              <w:rPr>
                <w:rFonts w:ascii="宋体" w:hAnsi="宋体" w:eastAsia="宋体"/>
                <w:sz w:val="18"/>
                <w:szCs w:val="18"/>
              </w:rPr>
            </w:pPr>
            <w:r>
              <w:rPr>
                <w:rFonts w:hint="eastAsia" w:ascii="宋体" w:hAnsi="宋体" w:eastAsia="宋体"/>
                <w:sz w:val="18"/>
                <w:szCs w:val="18"/>
              </w:rPr>
              <w:t>8</w:t>
            </w:r>
          </w:p>
        </w:tc>
        <w:tc>
          <w:tcPr>
            <w:tcW w:w="1169" w:type="dxa"/>
            <w:tcBorders>
              <w:top w:val="single" w:color="auto" w:sz="4" w:space="0"/>
              <w:left w:val="single" w:color="auto" w:sz="4" w:space="0"/>
              <w:bottom w:val="single" w:color="auto" w:sz="4" w:space="0"/>
              <w:right w:val="single" w:color="auto" w:sz="4" w:space="0"/>
              <w:tl2br w:val="nil"/>
              <w:tr2bl w:val="nil"/>
            </w:tcBorders>
          </w:tcPr>
          <w:p w14:paraId="1F9EE151">
            <w:pPr>
              <w:spacing w:line="580" w:lineRule="exact"/>
              <w:rPr>
                <w:rFonts w:ascii="宋体" w:hAnsi="宋体" w:eastAsia="宋体"/>
                <w:sz w:val="18"/>
                <w:szCs w:val="18"/>
              </w:rPr>
            </w:pPr>
          </w:p>
        </w:tc>
      </w:tr>
      <w:tr w14:paraId="46829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70" w:type="dxa"/>
            <w:vMerge w:val="continue"/>
            <w:tcBorders>
              <w:top w:val="nil"/>
              <w:left w:val="single" w:color="auto" w:sz="4" w:space="0"/>
              <w:bottom w:val="single" w:color="auto" w:sz="4" w:space="0"/>
              <w:right w:val="single" w:color="auto" w:sz="4" w:space="0"/>
              <w:tl2br w:val="nil"/>
              <w:tr2bl w:val="nil"/>
            </w:tcBorders>
            <w:vAlign w:val="center"/>
          </w:tcPr>
          <w:p w14:paraId="432C9945">
            <w:pPr>
              <w:widowControl/>
              <w:rPr>
                <w:rFonts w:ascii="宋体" w:hAnsi="宋体" w:eastAsia="宋体"/>
                <w:sz w:val="18"/>
                <w:szCs w:val="18"/>
              </w:rPr>
            </w:pPr>
          </w:p>
        </w:tc>
        <w:tc>
          <w:tcPr>
            <w:tcW w:w="2601" w:type="dxa"/>
            <w:tcBorders>
              <w:top w:val="single" w:color="auto" w:sz="4" w:space="0"/>
              <w:left w:val="single" w:color="auto" w:sz="4" w:space="0"/>
              <w:bottom w:val="single" w:color="auto" w:sz="4" w:space="0"/>
              <w:right w:val="single" w:color="auto" w:sz="4" w:space="0"/>
              <w:tl2br w:val="nil"/>
              <w:tr2bl w:val="nil"/>
            </w:tcBorders>
          </w:tcPr>
          <w:p w14:paraId="082D18D2">
            <w:pPr>
              <w:spacing w:line="580" w:lineRule="exact"/>
              <w:rPr>
                <w:rFonts w:ascii="宋体" w:hAnsi="宋体" w:eastAsia="宋体"/>
                <w:sz w:val="18"/>
                <w:szCs w:val="18"/>
              </w:rPr>
            </w:pPr>
            <w:r>
              <w:rPr>
                <w:rFonts w:hint="eastAsia" w:ascii="宋体" w:hAnsi="宋体" w:eastAsia="宋体"/>
                <w:sz w:val="18"/>
                <w:szCs w:val="18"/>
              </w:rPr>
              <w:t>账户与复式记账</w:t>
            </w:r>
          </w:p>
        </w:tc>
        <w:tc>
          <w:tcPr>
            <w:tcW w:w="1012" w:type="dxa"/>
            <w:tcBorders>
              <w:top w:val="single" w:color="auto" w:sz="4" w:space="0"/>
              <w:left w:val="single" w:color="auto" w:sz="4" w:space="0"/>
              <w:bottom w:val="single" w:color="auto" w:sz="4" w:space="0"/>
              <w:right w:val="single" w:color="auto" w:sz="4" w:space="0"/>
              <w:tl2br w:val="nil"/>
              <w:tr2bl w:val="nil"/>
            </w:tcBorders>
          </w:tcPr>
          <w:p w14:paraId="1963FF95">
            <w:pPr>
              <w:spacing w:line="580" w:lineRule="exact"/>
              <w:rPr>
                <w:rFonts w:ascii="宋体" w:hAnsi="宋体" w:eastAsia="宋体"/>
                <w:sz w:val="18"/>
                <w:szCs w:val="18"/>
              </w:rPr>
            </w:pPr>
            <w:r>
              <w:rPr>
                <w:rFonts w:hint="eastAsia" w:ascii="宋体" w:hAnsi="宋体" w:eastAsia="宋体"/>
                <w:sz w:val="18"/>
                <w:szCs w:val="18"/>
              </w:rPr>
              <w:t>10</w:t>
            </w:r>
          </w:p>
        </w:tc>
        <w:tc>
          <w:tcPr>
            <w:tcW w:w="1171" w:type="dxa"/>
            <w:tcBorders>
              <w:top w:val="single" w:color="auto" w:sz="4" w:space="0"/>
              <w:left w:val="single" w:color="auto" w:sz="4" w:space="0"/>
              <w:bottom w:val="single" w:color="auto" w:sz="4" w:space="0"/>
              <w:right w:val="single" w:color="auto" w:sz="4" w:space="0"/>
              <w:tl2br w:val="nil"/>
              <w:tr2bl w:val="nil"/>
            </w:tcBorders>
          </w:tcPr>
          <w:p w14:paraId="233780EF">
            <w:pPr>
              <w:spacing w:line="580" w:lineRule="exact"/>
              <w:rPr>
                <w:rFonts w:ascii="宋体" w:hAnsi="宋体" w:eastAsia="宋体"/>
                <w:sz w:val="18"/>
                <w:szCs w:val="18"/>
              </w:rPr>
            </w:pPr>
            <w:r>
              <w:rPr>
                <w:rFonts w:hint="eastAsia" w:ascii="宋体" w:hAnsi="宋体" w:eastAsia="宋体"/>
                <w:sz w:val="18"/>
                <w:szCs w:val="18"/>
              </w:rPr>
              <w:t>10</w:t>
            </w:r>
          </w:p>
        </w:tc>
        <w:tc>
          <w:tcPr>
            <w:tcW w:w="1169" w:type="dxa"/>
            <w:tcBorders>
              <w:top w:val="single" w:color="auto" w:sz="4" w:space="0"/>
              <w:left w:val="single" w:color="auto" w:sz="4" w:space="0"/>
              <w:bottom w:val="single" w:color="auto" w:sz="4" w:space="0"/>
              <w:right w:val="single" w:color="auto" w:sz="4" w:space="0"/>
              <w:tl2br w:val="nil"/>
              <w:tr2bl w:val="nil"/>
            </w:tcBorders>
          </w:tcPr>
          <w:p w14:paraId="135C0951">
            <w:pPr>
              <w:spacing w:line="580" w:lineRule="exact"/>
              <w:rPr>
                <w:rFonts w:ascii="宋体" w:hAnsi="宋体" w:eastAsia="宋体"/>
                <w:sz w:val="18"/>
                <w:szCs w:val="18"/>
              </w:rPr>
            </w:pPr>
          </w:p>
        </w:tc>
      </w:tr>
      <w:tr w14:paraId="259B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69" w:type="dxa"/>
            <w:vMerge w:val="restart"/>
            <w:tcBorders>
              <w:top w:val="nil"/>
              <w:left w:val="single" w:color="auto" w:sz="4" w:space="0"/>
              <w:bottom w:val="single" w:color="auto" w:sz="4" w:space="0"/>
              <w:right w:val="single" w:color="auto" w:sz="4" w:space="0"/>
              <w:tl2br w:val="nil"/>
              <w:tr2bl w:val="nil"/>
            </w:tcBorders>
            <w:vAlign w:val="center"/>
          </w:tcPr>
          <w:p w14:paraId="7F3A5AF6">
            <w:pPr>
              <w:spacing w:line="580" w:lineRule="exact"/>
              <w:rPr>
                <w:rFonts w:ascii="宋体" w:hAnsi="宋体" w:eastAsia="宋体"/>
                <w:sz w:val="18"/>
                <w:szCs w:val="18"/>
              </w:rPr>
            </w:pPr>
            <w:r>
              <w:rPr>
                <w:rFonts w:hint="eastAsia" w:ascii="宋体" w:hAnsi="宋体" w:eastAsia="宋体"/>
                <w:sz w:val="18"/>
                <w:szCs w:val="18"/>
              </w:rPr>
              <w:t>模块三、会计基本业务核算实务</w:t>
            </w:r>
          </w:p>
        </w:tc>
        <w:tc>
          <w:tcPr>
            <w:tcW w:w="2601" w:type="dxa"/>
            <w:tcBorders>
              <w:top w:val="single" w:color="auto" w:sz="4" w:space="0"/>
              <w:left w:val="single" w:color="auto" w:sz="4" w:space="0"/>
              <w:bottom w:val="single" w:color="auto" w:sz="4" w:space="0"/>
              <w:right w:val="single" w:color="auto" w:sz="4" w:space="0"/>
              <w:tl2br w:val="nil"/>
              <w:tr2bl w:val="nil"/>
            </w:tcBorders>
          </w:tcPr>
          <w:p w14:paraId="0745DE7C">
            <w:pPr>
              <w:spacing w:line="580" w:lineRule="exact"/>
              <w:rPr>
                <w:rFonts w:ascii="宋体" w:hAnsi="宋体" w:eastAsia="宋体"/>
                <w:sz w:val="18"/>
                <w:szCs w:val="18"/>
              </w:rPr>
            </w:pPr>
            <w:r>
              <w:rPr>
                <w:rFonts w:hint="eastAsia" w:ascii="宋体" w:hAnsi="宋体" w:eastAsia="宋体"/>
                <w:sz w:val="18"/>
                <w:szCs w:val="18"/>
              </w:rPr>
              <w:t>经济业务与原始凭证</w:t>
            </w:r>
          </w:p>
        </w:tc>
        <w:tc>
          <w:tcPr>
            <w:tcW w:w="1012" w:type="dxa"/>
            <w:tcBorders>
              <w:top w:val="single" w:color="auto" w:sz="4" w:space="0"/>
              <w:left w:val="single" w:color="auto" w:sz="4" w:space="0"/>
              <w:bottom w:val="single" w:color="auto" w:sz="4" w:space="0"/>
              <w:right w:val="single" w:color="auto" w:sz="4" w:space="0"/>
              <w:tl2br w:val="nil"/>
              <w:tr2bl w:val="nil"/>
            </w:tcBorders>
          </w:tcPr>
          <w:p w14:paraId="52D99FAB">
            <w:pPr>
              <w:spacing w:line="580" w:lineRule="exact"/>
              <w:rPr>
                <w:rFonts w:ascii="宋体" w:hAnsi="宋体" w:eastAsia="宋体"/>
                <w:sz w:val="18"/>
                <w:szCs w:val="18"/>
              </w:rPr>
            </w:pPr>
            <w:r>
              <w:rPr>
                <w:rFonts w:hint="eastAsia" w:ascii="宋体" w:hAnsi="宋体" w:eastAsia="宋体"/>
                <w:sz w:val="18"/>
                <w:szCs w:val="18"/>
              </w:rPr>
              <w:t>6</w:t>
            </w:r>
          </w:p>
        </w:tc>
        <w:tc>
          <w:tcPr>
            <w:tcW w:w="1171" w:type="dxa"/>
            <w:tcBorders>
              <w:top w:val="single" w:color="auto" w:sz="4" w:space="0"/>
              <w:left w:val="single" w:color="auto" w:sz="4" w:space="0"/>
              <w:bottom w:val="single" w:color="auto" w:sz="4" w:space="0"/>
              <w:right w:val="single" w:color="auto" w:sz="4" w:space="0"/>
              <w:tl2br w:val="nil"/>
              <w:tr2bl w:val="nil"/>
            </w:tcBorders>
          </w:tcPr>
          <w:p w14:paraId="5DE2859C">
            <w:pPr>
              <w:spacing w:line="580" w:lineRule="exact"/>
              <w:rPr>
                <w:rFonts w:ascii="宋体" w:hAnsi="宋体" w:eastAsia="宋体"/>
                <w:sz w:val="18"/>
                <w:szCs w:val="18"/>
              </w:rPr>
            </w:pPr>
            <w:r>
              <w:rPr>
                <w:rFonts w:hint="eastAsia" w:ascii="宋体" w:hAnsi="宋体" w:eastAsia="宋体"/>
                <w:sz w:val="18"/>
                <w:szCs w:val="18"/>
              </w:rPr>
              <w:t>4</w:t>
            </w:r>
          </w:p>
        </w:tc>
        <w:tc>
          <w:tcPr>
            <w:tcW w:w="1169" w:type="dxa"/>
            <w:tcBorders>
              <w:top w:val="single" w:color="auto" w:sz="4" w:space="0"/>
              <w:left w:val="single" w:color="auto" w:sz="4" w:space="0"/>
              <w:bottom w:val="single" w:color="auto" w:sz="4" w:space="0"/>
              <w:right w:val="single" w:color="auto" w:sz="4" w:space="0"/>
              <w:tl2br w:val="nil"/>
              <w:tr2bl w:val="nil"/>
            </w:tcBorders>
          </w:tcPr>
          <w:p w14:paraId="50A21A1F">
            <w:pPr>
              <w:spacing w:line="580" w:lineRule="exact"/>
              <w:rPr>
                <w:rFonts w:ascii="宋体" w:hAnsi="宋体" w:eastAsia="宋体"/>
                <w:sz w:val="18"/>
                <w:szCs w:val="18"/>
              </w:rPr>
            </w:pPr>
            <w:r>
              <w:rPr>
                <w:rFonts w:hint="eastAsia" w:ascii="宋体" w:hAnsi="宋体" w:eastAsia="宋体"/>
                <w:sz w:val="18"/>
                <w:szCs w:val="18"/>
              </w:rPr>
              <w:t>2</w:t>
            </w:r>
          </w:p>
        </w:tc>
      </w:tr>
      <w:tr w14:paraId="172E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70" w:type="dxa"/>
            <w:vMerge w:val="continue"/>
            <w:tcBorders>
              <w:top w:val="nil"/>
              <w:left w:val="single" w:color="auto" w:sz="4" w:space="0"/>
              <w:bottom w:val="single" w:color="auto" w:sz="4" w:space="0"/>
              <w:right w:val="single" w:color="auto" w:sz="4" w:space="0"/>
              <w:tl2br w:val="nil"/>
              <w:tr2bl w:val="nil"/>
            </w:tcBorders>
            <w:vAlign w:val="center"/>
          </w:tcPr>
          <w:p w14:paraId="130AB0E5">
            <w:pPr>
              <w:widowControl/>
              <w:rPr>
                <w:rFonts w:ascii="宋体" w:hAnsi="宋体" w:eastAsia="宋体"/>
                <w:sz w:val="18"/>
                <w:szCs w:val="18"/>
              </w:rPr>
            </w:pPr>
          </w:p>
        </w:tc>
        <w:tc>
          <w:tcPr>
            <w:tcW w:w="2601" w:type="dxa"/>
            <w:tcBorders>
              <w:top w:val="single" w:color="auto" w:sz="4" w:space="0"/>
              <w:left w:val="single" w:color="auto" w:sz="4" w:space="0"/>
              <w:bottom w:val="single" w:color="auto" w:sz="4" w:space="0"/>
              <w:right w:val="single" w:color="auto" w:sz="4" w:space="0"/>
              <w:tl2br w:val="nil"/>
              <w:tr2bl w:val="nil"/>
            </w:tcBorders>
          </w:tcPr>
          <w:p w14:paraId="74F28223">
            <w:pPr>
              <w:spacing w:line="580" w:lineRule="exact"/>
              <w:rPr>
                <w:rFonts w:ascii="宋体" w:hAnsi="宋体" w:eastAsia="宋体"/>
                <w:sz w:val="18"/>
                <w:szCs w:val="18"/>
              </w:rPr>
            </w:pPr>
            <w:r>
              <w:rPr>
                <w:rFonts w:hint="eastAsia" w:ascii="宋体" w:hAnsi="宋体" w:eastAsia="宋体"/>
                <w:sz w:val="18"/>
                <w:szCs w:val="18"/>
              </w:rPr>
              <w:t>企业基本业务的核算</w:t>
            </w:r>
          </w:p>
        </w:tc>
        <w:tc>
          <w:tcPr>
            <w:tcW w:w="1012" w:type="dxa"/>
            <w:tcBorders>
              <w:top w:val="single" w:color="auto" w:sz="4" w:space="0"/>
              <w:left w:val="single" w:color="auto" w:sz="4" w:space="0"/>
              <w:bottom w:val="single" w:color="auto" w:sz="4" w:space="0"/>
              <w:right w:val="single" w:color="auto" w:sz="4" w:space="0"/>
              <w:tl2br w:val="nil"/>
              <w:tr2bl w:val="nil"/>
            </w:tcBorders>
          </w:tcPr>
          <w:p w14:paraId="3055DD06">
            <w:pPr>
              <w:spacing w:line="580" w:lineRule="exact"/>
              <w:rPr>
                <w:rFonts w:ascii="宋体" w:hAnsi="宋体" w:eastAsia="宋体"/>
                <w:sz w:val="18"/>
                <w:szCs w:val="18"/>
              </w:rPr>
            </w:pPr>
            <w:r>
              <w:rPr>
                <w:rFonts w:hint="eastAsia" w:ascii="宋体" w:hAnsi="宋体" w:eastAsia="宋体"/>
                <w:sz w:val="18"/>
                <w:szCs w:val="18"/>
              </w:rPr>
              <w:t>16</w:t>
            </w:r>
          </w:p>
        </w:tc>
        <w:tc>
          <w:tcPr>
            <w:tcW w:w="1171" w:type="dxa"/>
            <w:tcBorders>
              <w:top w:val="single" w:color="auto" w:sz="4" w:space="0"/>
              <w:left w:val="single" w:color="auto" w:sz="4" w:space="0"/>
              <w:bottom w:val="single" w:color="auto" w:sz="4" w:space="0"/>
              <w:right w:val="single" w:color="auto" w:sz="4" w:space="0"/>
              <w:tl2br w:val="nil"/>
              <w:tr2bl w:val="nil"/>
            </w:tcBorders>
          </w:tcPr>
          <w:p w14:paraId="64EC2EB0">
            <w:pPr>
              <w:spacing w:line="580" w:lineRule="exact"/>
              <w:rPr>
                <w:rFonts w:ascii="宋体" w:hAnsi="宋体" w:eastAsia="宋体"/>
                <w:sz w:val="18"/>
                <w:szCs w:val="18"/>
              </w:rPr>
            </w:pPr>
            <w:r>
              <w:rPr>
                <w:rFonts w:hint="eastAsia" w:ascii="宋体" w:hAnsi="宋体" w:eastAsia="宋体"/>
                <w:sz w:val="18"/>
                <w:szCs w:val="18"/>
              </w:rPr>
              <w:t>12</w:t>
            </w:r>
          </w:p>
        </w:tc>
        <w:tc>
          <w:tcPr>
            <w:tcW w:w="1169" w:type="dxa"/>
            <w:tcBorders>
              <w:top w:val="single" w:color="auto" w:sz="4" w:space="0"/>
              <w:left w:val="single" w:color="auto" w:sz="4" w:space="0"/>
              <w:bottom w:val="single" w:color="auto" w:sz="4" w:space="0"/>
              <w:right w:val="single" w:color="auto" w:sz="4" w:space="0"/>
              <w:tl2br w:val="nil"/>
              <w:tr2bl w:val="nil"/>
            </w:tcBorders>
          </w:tcPr>
          <w:p w14:paraId="4AD9C5F7">
            <w:pPr>
              <w:spacing w:line="580" w:lineRule="exact"/>
              <w:rPr>
                <w:rFonts w:ascii="宋体" w:hAnsi="宋体" w:eastAsia="宋体"/>
                <w:sz w:val="18"/>
                <w:szCs w:val="18"/>
              </w:rPr>
            </w:pPr>
            <w:r>
              <w:rPr>
                <w:rFonts w:hint="eastAsia" w:ascii="宋体" w:hAnsi="宋体" w:eastAsia="宋体"/>
                <w:sz w:val="18"/>
                <w:szCs w:val="18"/>
              </w:rPr>
              <w:t>4</w:t>
            </w:r>
          </w:p>
        </w:tc>
      </w:tr>
      <w:tr w14:paraId="662F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70" w:type="dxa"/>
            <w:vMerge w:val="continue"/>
            <w:tcBorders>
              <w:top w:val="nil"/>
              <w:left w:val="single" w:color="auto" w:sz="4" w:space="0"/>
              <w:bottom w:val="single" w:color="auto" w:sz="4" w:space="0"/>
              <w:right w:val="single" w:color="auto" w:sz="4" w:space="0"/>
              <w:tl2br w:val="nil"/>
              <w:tr2bl w:val="nil"/>
            </w:tcBorders>
            <w:vAlign w:val="center"/>
          </w:tcPr>
          <w:p w14:paraId="61108BE7">
            <w:pPr>
              <w:widowControl/>
              <w:rPr>
                <w:rFonts w:ascii="宋体" w:hAnsi="宋体" w:eastAsia="宋体"/>
                <w:sz w:val="18"/>
                <w:szCs w:val="18"/>
              </w:rPr>
            </w:pPr>
          </w:p>
        </w:tc>
        <w:tc>
          <w:tcPr>
            <w:tcW w:w="2601" w:type="dxa"/>
            <w:tcBorders>
              <w:top w:val="single" w:color="auto" w:sz="4" w:space="0"/>
              <w:left w:val="single" w:color="auto" w:sz="4" w:space="0"/>
              <w:bottom w:val="single" w:color="auto" w:sz="4" w:space="0"/>
              <w:right w:val="single" w:color="auto" w:sz="4" w:space="0"/>
              <w:tl2br w:val="nil"/>
              <w:tr2bl w:val="nil"/>
            </w:tcBorders>
          </w:tcPr>
          <w:p w14:paraId="52858C81">
            <w:pPr>
              <w:spacing w:line="580" w:lineRule="exact"/>
              <w:rPr>
                <w:rFonts w:ascii="宋体" w:hAnsi="宋体" w:eastAsia="宋体"/>
                <w:sz w:val="18"/>
                <w:szCs w:val="18"/>
              </w:rPr>
            </w:pPr>
            <w:r>
              <w:rPr>
                <w:rFonts w:hint="eastAsia" w:ascii="宋体" w:hAnsi="宋体" w:eastAsia="宋体"/>
                <w:sz w:val="18"/>
                <w:szCs w:val="18"/>
              </w:rPr>
              <w:t>记账凭证</w:t>
            </w:r>
          </w:p>
        </w:tc>
        <w:tc>
          <w:tcPr>
            <w:tcW w:w="1012" w:type="dxa"/>
            <w:tcBorders>
              <w:top w:val="single" w:color="auto" w:sz="4" w:space="0"/>
              <w:left w:val="single" w:color="auto" w:sz="4" w:space="0"/>
              <w:bottom w:val="single" w:color="auto" w:sz="4" w:space="0"/>
              <w:right w:val="single" w:color="auto" w:sz="4" w:space="0"/>
              <w:tl2br w:val="nil"/>
              <w:tr2bl w:val="nil"/>
            </w:tcBorders>
          </w:tcPr>
          <w:p w14:paraId="3B3D8527">
            <w:pPr>
              <w:spacing w:line="580" w:lineRule="exact"/>
              <w:rPr>
                <w:rFonts w:ascii="宋体" w:hAnsi="宋体" w:eastAsia="宋体"/>
                <w:sz w:val="18"/>
                <w:szCs w:val="18"/>
              </w:rPr>
            </w:pPr>
            <w:r>
              <w:rPr>
                <w:rFonts w:hint="eastAsia" w:ascii="宋体" w:hAnsi="宋体" w:eastAsia="宋体"/>
                <w:sz w:val="18"/>
                <w:szCs w:val="18"/>
              </w:rPr>
              <w:t>8</w:t>
            </w:r>
          </w:p>
        </w:tc>
        <w:tc>
          <w:tcPr>
            <w:tcW w:w="1171" w:type="dxa"/>
            <w:tcBorders>
              <w:top w:val="single" w:color="auto" w:sz="4" w:space="0"/>
              <w:left w:val="single" w:color="auto" w:sz="4" w:space="0"/>
              <w:bottom w:val="single" w:color="auto" w:sz="4" w:space="0"/>
              <w:right w:val="single" w:color="auto" w:sz="4" w:space="0"/>
              <w:tl2br w:val="nil"/>
              <w:tr2bl w:val="nil"/>
            </w:tcBorders>
          </w:tcPr>
          <w:p w14:paraId="2CBDF931">
            <w:pPr>
              <w:spacing w:line="580" w:lineRule="exact"/>
              <w:rPr>
                <w:rFonts w:ascii="宋体" w:hAnsi="宋体" w:eastAsia="宋体"/>
                <w:sz w:val="18"/>
                <w:szCs w:val="18"/>
              </w:rPr>
            </w:pPr>
            <w:r>
              <w:rPr>
                <w:rFonts w:hint="eastAsia" w:ascii="宋体" w:hAnsi="宋体" w:eastAsia="宋体"/>
                <w:sz w:val="18"/>
                <w:szCs w:val="18"/>
              </w:rPr>
              <w:t>8</w:t>
            </w:r>
          </w:p>
        </w:tc>
        <w:tc>
          <w:tcPr>
            <w:tcW w:w="1169" w:type="dxa"/>
            <w:tcBorders>
              <w:top w:val="single" w:color="auto" w:sz="4" w:space="0"/>
              <w:left w:val="single" w:color="auto" w:sz="4" w:space="0"/>
              <w:bottom w:val="single" w:color="auto" w:sz="4" w:space="0"/>
              <w:right w:val="single" w:color="auto" w:sz="4" w:space="0"/>
              <w:tl2br w:val="nil"/>
              <w:tr2bl w:val="nil"/>
            </w:tcBorders>
          </w:tcPr>
          <w:p w14:paraId="6FA768B9">
            <w:pPr>
              <w:spacing w:line="580" w:lineRule="exact"/>
              <w:rPr>
                <w:rFonts w:ascii="宋体" w:hAnsi="宋体" w:eastAsia="宋体"/>
                <w:sz w:val="18"/>
                <w:szCs w:val="18"/>
              </w:rPr>
            </w:pPr>
          </w:p>
        </w:tc>
      </w:tr>
      <w:tr w14:paraId="43C5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70" w:type="dxa"/>
            <w:vMerge w:val="continue"/>
            <w:tcBorders>
              <w:top w:val="nil"/>
              <w:left w:val="single" w:color="auto" w:sz="4" w:space="0"/>
              <w:bottom w:val="single" w:color="auto" w:sz="4" w:space="0"/>
              <w:right w:val="single" w:color="auto" w:sz="4" w:space="0"/>
              <w:tl2br w:val="nil"/>
              <w:tr2bl w:val="nil"/>
            </w:tcBorders>
            <w:vAlign w:val="center"/>
          </w:tcPr>
          <w:p w14:paraId="238BBF57">
            <w:pPr>
              <w:widowControl/>
              <w:rPr>
                <w:rFonts w:ascii="宋体" w:hAnsi="宋体" w:eastAsia="宋体"/>
                <w:sz w:val="18"/>
                <w:szCs w:val="18"/>
              </w:rPr>
            </w:pPr>
          </w:p>
        </w:tc>
        <w:tc>
          <w:tcPr>
            <w:tcW w:w="2601" w:type="dxa"/>
            <w:tcBorders>
              <w:top w:val="single" w:color="auto" w:sz="4" w:space="0"/>
              <w:left w:val="single" w:color="auto" w:sz="4" w:space="0"/>
              <w:bottom w:val="single" w:color="auto" w:sz="4" w:space="0"/>
              <w:right w:val="single" w:color="auto" w:sz="4" w:space="0"/>
              <w:tl2br w:val="nil"/>
              <w:tr2bl w:val="nil"/>
            </w:tcBorders>
          </w:tcPr>
          <w:p w14:paraId="35B9F317">
            <w:pPr>
              <w:spacing w:line="580" w:lineRule="exact"/>
              <w:rPr>
                <w:rFonts w:ascii="宋体" w:hAnsi="宋体" w:eastAsia="宋体"/>
                <w:sz w:val="18"/>
                <w:szCs w:val="18"/>
              </w:rPr>
            </w:pPr>
            <w:r>
              <w:rPr>
                <w:rFonts w:hint="eastAsia" w:ascii="宋体" w:hAnsi="宋体" w:eastAsia="宋体"/>
                <w:sz w:val="18"/>
                <w:szCs w:val="18"/>
              </w:rPr>
              <w:t>登记账簿</w:t>
            </w:r>
          </w:p>
        </w:tc>
        <w:tc>
          <w:tcPr>
            <w:tcW w:w="1012" w:type="dxa"/>
            <w:tcBorders>
              <w:top w:val="single" w:color="auto" w:sz="4" w:space="0"/>
              <w:left w:val="single" w:color="auto" w:sz="4" w:space="0"/>
              <w:bottom w:val="single" w:color="auto" w:sz="4" w:space="0"/>
              <w:right w:val="single" w:color="auto" w:sz="4" w:space="0"/>
              <w:tl2br w:val="nil"/>
              <w:tr2bl w:val="nil"/>
            </w:tcBorders>
          </w:tcPr>
          <w:p w14:paraId="26428EF0">
            <w:pPr>
              <w:spacing w:line="580" w:lineRule="exact"/>
              <w:rPr>
                <w:rFonts w:ascii="宋体" w:hAnsi="宋体" w:eastAsia="宋体"/>
                <w:sz w:val="18"/>
                <w:szCs w:val="18"/>
              </w:rPr>
            </w:pPr>
            <w:r>
              <w:rPr>
                <w:rFonts w:hint="eastAsia" w:ascii="宋体" w:hAnsi="宋体" w:eastAsia="宋体"/>
                <w:sz w:val="18"/>
                <w:szCs w:val="18"/>
              </w:rPr>
              <w:t>6</w:t>
            </w:r>
          </w:p>
        </w:tc>
        <w:tc>
          <w:tcPr>
            <w:tcW w:w="1171" w:type="dxa"/>
            <w:tcBorders>
              <w:top w:val="single" w:color="auto" w:sz="4" w:space="0"/>
              <w:left w:val="single" w:color="auto" w:sz="4" w:space="0"/>
              <w:bottom w:val="single" w:color="auto" w:sz="4" w:space="0"/>
              <w:right w:val="single" w:color="auto" w:sz="4" w:space="0"/>
              <w:tl2br w:val="nil"/>
              <w:tr2bl w:val="nil"/>
            </w:tcBorders>
          </w:tcPr>
          <w:p w14:paraId="500F65EE">
            <w:pPr>
              <w:spacing w:line="580" w:lineRule="exact"/>
              <w:rPr>
                <w:rFonts w:ascii="宋体" w:hAnsi="宋体" w:eastAsia="宋体"/>
                <w:sz w:val="18"/>
                <w:szCs w:val="18"/>
              </w:rPr>
            </w:pPr>
            <w:r>
              <w:rPr>
                <w:rFonts w:hint="eastAsia" w:ascii="宋体" w:hAnsi="宋体" w:eastAsia="宋体"/>
                <w:sz w:val="18"/>
                <w:szCs w:val="18"/>
              </w:rPr>
              <w:t>4</w:t>
            </w:r>
          </w:p>
        </w:tc>
        <w:tc>
          <w:tcPr>
            <w:tcW w:w="1169" w:type="dxa"/>
            <w:tcBorders>
              <w:top w:val="single" w:color="auto" w:sz="4" w:space="0"/>
              <w:left w:val="single" w:color="auto" w:sz="4" w:space="0"/>
              <w:bottom w:val="single" w:color="auto" w:sz="4" w:space="0"/>
              <w:right w:val="single" w:color="auto" w:sz="4" w:space="0"/>
              <w:tl2br w:val="nil"/>
              <w:tr2bl w:val="nil"/>
            </w:tcBorders>
          </w:tcPr>
          <w:p w14:paraId="24D4B747">
            <w:pPr>
              <w:spacing w:line="580" w:lineRule="exact"/>
              <w:rPr>
                <w:rFonts w:ascii="宋体" w:hAnsi="宋体" w:eastAsia="宋体"/>
                <w:sz w:val="18"/>
                <w:szCs w:val="18"/>
              </w:rPr>
            </w:pPr>
            <w:r>
              <w:rPr>
                <w:rFonts w:hint="eastAsia" w:ascii="宋体" w:hAnsi="宋体" w:eastAsia="宋体"/>
                <w:sz w:val="18"/>
                <w:szCs w:val="18"/>
              </w:rPr>
              <w:t>2</w:t>
            </w:r>
          </w:p>
        </w:tc>
      </w:tr>
      <w:tr w14:paraId="5F7C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9" w:type="dxa"/>
            <w:tcBorders>
              <w:top w:val="single" w:color="auto" w:sz="4" w:space="0"/>
              <w:left w:val="single" w:color="auto" w:sz="4" w:space="0"/>
              <w:bottom w:val="single" w:color="auto" w:sz="4" w:space="0"/>
              <w:right w:val="single" w:color="auto" w:sz="4" w:space="0"/>
              <w:tl2br w:val="nil"/>
              <w:tr2bl w:val="nil"/>
            </w:tcBorders>
          </w:tcPr>
          <w:p w14:paraId="506379F0">
            <w:pPr>
              <w:spacing w:line="580" w:lineRule="exact"/>
              <w:rPr>
                <w:rFonts w:ascii="宋体" w:hAnsi="宋体" w:eastAsia="宋体"/>
                <w:sz w:val="18"/>
                <w:szCs w:val="18"/>
              </w:rPr>
            </w:pPr>
            <w:r>
              <w:rPr>
                <w:rFonts w:hint="eastAsia" w:ascii="宋体" w:hAnsi="宋体" w:eastAsia="宋体"/>
                <w:sz w:val="18"/>
                <w:szCs w:val="18"/>
              </w:rPr>
              <w:t>模块四、财产清查</w:t>
            </w:r>
          </w:p>
        </w:tc>
        <w:tc>
          <w:tcPr>
            <w:tcW w:w="2601" w:type="dxa"/>
            <w:tcBorders>
              <w:top w:val="single" w:color="auto" w:sz="4" w:space="0"/>
              <w:left w:val="single" w:color="auto" w:sz="4" w:space="0"/>
              <w:bottom w:val="single" w:color="auto" w:sz="4" w:space="0"/>
              <w:right w:val="single" w:color="auto" w:sz="4" w:space="0"/>
              <w:tl2br w:val="nil"/>
              <w:tr2bl w:val="nil"/>
            </w:tcBorders>
          </w:tcPr>
          <w:p w14:paraId="21F7CC40">
            <w:pPr>
              <w:spacing w:line="580" w:lineRule="exact"/>
              <w:rPr>
                <w:rFonts w:ascii="宋体" w:hAnsi="宋体" w:eastAsia="宋体"/>
                <w:sz w:val="18"/>
                <w:szCs w:val="18"/>
              </w:rPr>
            </w:pPr>
            <w:r>
              <w:rPr>
                <w:rFonts w:hint="eastAsia" w:ascii="宋体" w:hAnsi="宋体" w:eastAsia="宋体"/>
                <w:sz w:val="18"/>
                <w:szCs w:val="18"/>
              </w:rPr>
              <w:t>财产清查</w:t>
            </w:r>
          </w:p>
        </w:tc>
        <w:tc>
          <w:tcPr>
            <w:tcW w:w="1012" w:type="dxa"/>
            <w:tcBorders>
              <w:top w:val="single" w:color="auto" w:sz="4" w:space="0"/>
              <w:left w:val="single" w:color="auto" w:sz="4" w:space="0"/>
              <w:bottom w:val="single" w:color="auto" w:sz="4" w:space="0"/>
              <w:right w:val="single" w:color="auto" w:sz="4" w:space="0"/>
              <w:tl2br w:val="nil"/>
              <w:tr2bl w:val="nil"/>
            </w:tcBorders>
          </w:tcPr>
          <w:p w14:paraId="5E466DEA">
            <w:pPr>
              <w:spacing w:line="580" w:lineRule="exact"/>
              <w:rPr>
                <w:rFonts w:ascii="宋体" w:hAnsi="宋体" w:eastAsia="宋体"/>
                <w:sz w:val="18"/>
                <w:szCs w:val="18"/>
              </w:rPr>
            </w:pPr>
            <w:r>
              <w:rPr>
                <w:rFonts w:hint="eastAsia" w:ascii="宋体" w:hAnsi="宋体" w:eastAsia="宋体"/>
                <w:sz w:val="18"/>
                <w:szCs w:val="18"/>
              </w:rPr>
              <w:t>6</w:t>
            </w:r>
          </w:p>
        </w:tc>
        <w:tc>
          <w:tcPr>
            <w:tcW w:w="1171" w:type="dxa"/>
            <w:tcBorders>
              <w:top w:val="single" w:color="auto" w:sz="4" w:space="0"/>
              <w:left w:val="single" w:color="auto" w:sz="4" w:space="0"/>
              <w:bottom w:val="single" w:color="auto" w:sz="4" w:space="0"/>
              <w:right w:val="single" w:color="auto" w:sz="4" w:space="0"/>
              <w:tl2br w:val="nil"/>
              <w:tr2bl w:val="nil"/>
            </w:tcBorders>
          </w:tcPr>
          <w:p w14:paraId="15DADD36">
            <w:pPr>
              <w:spacing w:line="580" w:lineRule="exact"/>
              <w:rPr>
                <w:rFonts w:ascii="宋体" w:hAnsi="宋体" w:eastAsia="宋体"/>
                <w:sz w:val="18"/>
                <w:szCs w:val="18"/>
              </w:rPr>
            </w:pPr>
            <w:r>
              <w:rPr>
                <w:rFonts w:hint="eastAsia" w:ascii="宋体" w:hAnsi="宋体" w:eastAsia="宋体"/>
                <w:sz w:val="18"/>
                <w:szCs w:val="18"/>
              </w:rPr>
              <w:t>6</w:t>
            </w:r>
          </w:p>
        </w:tc>
        <w:tc>
          <w:tcPr>
            <w:tcW w:w="1169" w:type="dxa"/>
            <w:tcBorders>
              <w:top w:val="single" w:color="auto" w:sz="4" w:space="0"/>
              <w:left w:val="single" w:color="auto" w:sz="4" w:space="0"/>
              <w:bottom w:val="single" w:color="auto" w:sz="4" w:space="0"/>
              <w:right w:val="single" w:color="auto" w:sz="4" w:space="0"/>
              <w:tl2br w:val="nil"/>
              <w:tr2bl w:val="nil"/>
            </w:tcBorders>
          </w:tcPr>
          <w:p w14:paraId="01CC247A">
            <w:pPr>
              <w:spacing w:line="580" w:lineRule="exact"/>
              <w:rPr>
                <w:rFonts w:ascii="宋体" w:hAnsi="宋体" w:eastAsia="宋体"/>
                <w:sz w:val="18"/>
                <w:szCs w:val="18"/>
              </w:rPr>
            </w:pPr>
          </w:p>
        </w:tc>
      </w:tr>
      <w:tr w14:paraId="69E3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9" w:type="dxa"/>
            <w:tcBorders>
              <w:top w:val="single" w:color="auto" w:sz="4" w:space="0"/>
              <w:left w:val="single" w:color="auto" w:sz="4" w:space="0"/>
              <w:bottom w:val="single" w:color="auto" w:sz="4" w:space="0"/>
              <w:right w:val="single" w:color="auto" w:sz="4" w:space="0"/>
              <w:tl2br w:val="nil"/>
              <w:tr2bl w:val="nil"/>
            </w:tcBorders>
          </w:tcPr>
          <w:p w14:paraId="200B81C5">
            <w:pPr>
              <w:spacing w:line="580" w:lineRule="exact"/>
              <w:rPr>
                <w:rFonts w:ascii="宋体" w:hAnsi="宋体" w:eastAsia="宋体"/>
                <w:sz w:val="18"/>
                <w:szCs w:val="18"/>
              </w:rPr>
            </w:pPr>
            <w:r>
              <w:rPr>
                <w:rFonts w:hint="eastAsia" w:ascii="宋体" w:hAnsi="宋体" w:eastAsia="宋体"/>
                <w:sz w:val="18"/>
                <w:szCs w:val="18"/>
              </w:rPr>
              <w:t>模块五、财务会计报告</w:t>
            </w:r>
          </w:p>
        </w:tc>
        <w:tc>
          <w:tcPr>
            <w:tcW w:w="2601" w:type="dxa"/>
            <w:tcBorders>
              <w:top w:val="single" w:color="auto" w:sz="4" w:space="0"/>
              <w:left w:val="single" w:color="auto" w:sz="4" w:space="0"/>
              <w:bottom w:val="single" w:color="auto" w:sz="4" w:space="0"/>
              <w:right w:val="single" w:color="auto" w:sz="4" w:space="0"/>
              <w:tl2br w:val="nil"/>
              <w:tr2bl w:val="nil"/>
            </w:tcBorders>
          </w:tcPr>
          <w:p w14:paraId="1EDEDE04">
            <w:pPr>
              <w:spacing w:line="580" w:lineRule="exact"/>
              <w:rPr>
                <w:rFonts w:ascii="宋体" w:hAnsi="宋体" w:eastAsia="宋体"/>
                <w:sz w:val="18"/>
                <w:szCs w:val="18"/>
              </w:rPr>
            </w:pPr>
            <w:r>
              <w:rPr>
                <w:rFonts w:hint="eastAsia" w:ascii="宋体" w:hAnsi="宋体" w:eastAsia="宋体"/>
                <w:sz w:val="18"/>
                <w:szCs w:val="18"/>
              </w:rPr>
              <w:t>财务会计报告</w:t>
            </w:r>
          </w:p>
        </w:tc>
        <w:tc>
          <w:tcPr>
            <w:tcW w:w="1012" w:type="dxa"/>
            <w:tcBorders>
              <w:top w:val="single" w:color="auto" w:sz="4" w:space="0"/>
              <w:left w:val="single" w:color="auto" w:sz="4" w:space="0"/>
              <w:bottom w:val="single" w:color="auto" w:sz="4" w:space="0"/>
              <w:right w:val="single" w:color="auto" w:sz="4" w:space="0"/>
              <w:tl2br w:val="nil"/>
              <w:tr2bl w:val="nil"/>
            </w:tcBorders>
          </w:tcPr>
          <w:p w14:paraId="5A5881DF">
            <w:pPr>
              <w:spacing w:line="580" w:lineRule="exact"/>
              <w:rPr>
                <w:rFonts w:ascii="宋体" w:hAnsi="宋体" w:eastAsia="宋体"/>
                <w:sz w:val="18"/>
                <w:szCs w:val="18"/>
              </w:rPr>
            </w:pPr>
            <w:r>
              <w:rPr>
                <w:rFonts w:hint="eastAsia" w:ascii="宋体" w:hAnsi="宋体" w:eastAsia="宋体"/>
                <w:sz w:val="18"/>
                <w:szCs w:val="18"/>
              </w:rPr>
              <w:t>6</w:t>
            </w:r>
          </w:p>
        </w:tc>
        <w:tc>
          <w:tcPr>
            <w:tcW w:w="1171" w:type="dxa"/>
            <w:tcBorders>
              <w:top w:val="single" w:color="auto" w:sz="4" w:space="0"/>
              <w:left w:val="single" w:color="auto" w:sz="4" w:space="0"/>
              <w:bottom w:val="single" w:color="auto" w:sz="4" w:space="0"/>
              <w:right w:val="single" w:color="auto" w:sz="4" w:space="0"/>
              <w:tl2br w:val="nil"/>
              <w:tr2bl w:val="nil"/>
            </w:tcBorders>
          </w:tcPr>
          <w:p w14:paraId="06C45FAA">
            <w:pPr>
              <w:spacing w:line="580" w:lineRule="exact"/>
              <w:rPr>
                <w:rFonts w:ascii="宋体" w:hAnsi="宋体" w:eastAsia="宋体"/>
                <w:sz w:val="18"/>
                <w:szCs w:val="18"/>
              </w:rPr>
            </w:pPr>
            <w:r>
              <w:rPr>
                <w:rFonts w:hint="eastAsia" w:ascii="宋体" w:hAnsi="宋体" w:eastAsia="宋体"/>
                <w:sz w:val="18"/>
                <w:szCs w:val="18"/>
              </w:rPr>
              <w:t>6</w:t>
            </w:r>
          </w:p>
        </w:tc>
        <w:tc>
          <w:tcPr>
            <w:tcW w:w="1169" w:type="dxa"/>
            <w:tcBorders>
              <w:top w:val="single" w:color="auto" w:sz="4" w:space="0"/>
              <w:left w:val="single" w:color="auto" w:sz="4" w:space="0"/>
              <w:bottom w:val="single" w:color="auto" w:sz="4" w:space="0"/>
              <w:right w:val="single" w:color="auto" w:sz="4" w:space="0"/>
              <w:tl2br w:val="nil"/>
              <w:tr2bl w:val="nil"/>
            </w:tcBorders>
          </w:tcPr>
          <w:p w14:paraId="65670993">
            <w:pPr>
              <w:spacing w:line="580" w:lineRule="exact"/>
              <w:rPr>
                <w:rFonts w:ascii="宋体" w:hAnsi="宋体" w:eastAsia="宋体"/>
                <w:sz w:val="18"/>
                <w:szCs w:val="18"/>
              </w:rPr>
            </w:pPr>
          </w:p>
        </w:tc>
      </w:tr>
      <w:tr w14:paraId="5085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69" w:type="dxa"/>
            <w:vMerge w:val="restart"/>
            <w:tcBorders>
              <w:top w:val="nil"/>
              <w:left w:val="single" w:color="auto" w:sz="4" w:space="0"/>
              <w:bottom w:val="single" w:color="auto" w:sz="4" w:space="0"/>
              <w:right w:val="single" w:color="auto" w:sz="4" w:space="0"/>
              <w:tl2br w:val="nil"/>
              <w:tr2bl w:val="nil"/>
            </w:tcBorders>
            <w:vAlign w:val="center"/>
          </w:tcPr>
          <w:p w14:paraId="5D5CD472">
            <w:pPr>
              <w:spacing w:line="580" w:lineRule="exact"/>
              <w:rPr>
                <w:rFonts w:ascii="宋体" w:hAnsi="宋体" w:eastAsia="宋体"/>
                <w:sz w:val="18"/>
                <w:szCs w:val="18"/>
              </w:rPr>
            </w:pPr>
            <w:r>
              <w:rPr>
                <w:rFonts w:hint="eastAsia" w:ascii="宋体" w:hAnsi="宋体" w:eastAsia="宋体"/>
                <w:sz w:val="18"/>
                <w:szCs w:val="18"/>
              </w:rPr>
              <w:t>模块六、会计工作规范</w:t>
            </w:r>
          </w:p>
        </w:tc>
        <w:tc>
          <w:tcPr>
            <w:tcW w:w="2601" w:type="dxa"/>
            <w:tcBorders>
              <w:top w:val="single" w:color="auto" w:sz="4" w:space="0"/>
              <w:left w:val="single" w:color="auto" w:sz="4" w:space="0"/>
              <w:bottom w:val="single" w:color="auto" w:sz="4" w:space="0"/>
              <w:right w:val="single" w:color="auto" w:sz="4" w:space="0"/>
              <w:tl2br w:val="nil"/>
              <w:tr2bl w:val="nil"/>
            </w:tcBorders>
          </w:tcPr>
          <w:p w14:paraId="42B26BB6">
            <w:pPr>
              <w:spacing w:line="580" w:lineRule="exact"/>
              <w:rPr>
                <w:rFonts w:ascii="宋体" w:hAnsi="宋体" w:eastAsia="宋体"/>
                <w:sz w:val="18"/>
                <w:szCs w:val="18"/>
              </w:rPr>
            </w:pPr>
            <w:r>
              <w:rPr>
                <w:rFonts w:hint="eastAsia" w:ascii="宋体" w:hAnsi="宋体" w:eastAsia="宋体"/>
                <w:sz w:val="18"/>
                <w:szCs w:val="18"/>
              </w:rPr>
              <w:t>会计处理程序</w:t>
            </w:r>
          </w:p>
        </w:tc>
        <w:tc>
          <w:tcPr>
            <w:tcW w:w="1012" w:type="dxa"/>
            <w:tcBorders>
              <w:top w:val="single" w:color="auto" w:sz="4" w:space="0"/>
              <w:left w:val="single" w:color="auto" w:sz="4" w:space="0"/>
              <w:bottom w:val="single" w:color="auto" w:sz="4" w:space="0"/>
              <w:right w:val="single" w:color="auto" w:sz="4" w:space="0"/>
              <w:tl2br w:val="nil"/>
              <w:tr2bl w:val="nil"/>
            </w:tcBorders>
          </w:tcPr>
          <w:p w14:paraId="794E25FB">
            <w:pPr>
              <w:spacing w:line="580" w:lineRule="exact"/>
              <w:rPr>
                <w:rFonts w:ascii="宋体" w:hAnsi="宋体" w:eastAsia="宋体"/>
                <w:sz w:val="18"/>
                <w:szCs w:val="18"/>
              </w:rPr>
            </w:pPr>
            <w:r>
              <w:rPr>
                <w:rFonts w:hint="eastAsia" w:ascii="宋体" w:hAnsi="宋体" w:eastAsia="宋体"/>
                <w:sz w:val="18"/>
                <w:szCs w:val="18"/>
              </w:rPr>
              <w:t>4</w:t>
            </w:r>
          </w:p>
        </w:tc>
        <w:tc>
          <w:tcPr>
            <w:tcW w:w="1171" w:type="dxa"/>
            <w:tcBorders>
              <w:top w:val="single" w:color="auto" w:sz="4" w:space="0"/>
              <w:left w:val="single" w:color="auto" w:sz="4" w:space="0"/>
              <w:bottom w:val="single" w:color="auto" w:sz="4" w:space="0"/>
              <w:right w:val="single" w:color="auto" w:sz="4" w:space="0"/>
              <w:tl2br w:val="nil"/>
              <w:tr2bl w:val="nil"/>
            </w:tcBorders>
          </w:tcPr>
          <w:p w14:paraId="2069C35D">
            <w:pPr>
              <w:spacing w:line="580" w:lineRule="exact"/>
              <w:rPr>
                <w:rFonts w:ascii="宋体" w:hAnsi="宋体" w:eastAsia="宋体"/>
                <w:sz w:val="18"/>
                <w:szCs w:val="18"/>
              </w:rPr>
            </w:pPr>
            <w:r>
              <w:rPr>
                <w:rFonts w:hint="eastAsia" w:ascii="宋体" w:hAnsi="宋体" w:eastAsia="宋体"/>
                <w:sz w:val="18"/>
                <w:szCs w:val="18"/>
              </w:rPr>
              <w:t>4</w:t>
            </w:r>
          </w:p>
        </w:tc>
        <w:tc>
          <w:tcPr>
            <w:tcW w:w="1169" w:type="dxa"/>
            <w:tcBorders>
              <w:top w:val="single" w:color="auto" w:sz="4" w:space="0"/>
              <w:left w:val="single" w:color="auto" w:sz="4" w:space="0"/>
              <w:bottom w:val="single" w:color="auto" w:sz="4" w:space="0"/>
              <w:right w:val="single" w:color="auto" w:sz="4" w:space="0"/>
              <w:tl2br w:val="nil"/>
              <w:tr2bl w:val="nil"/>
            </w:tcBorders>
          </w:tcPr>
          <w:p w14:paraId="57AFD2EB">
            <w:pPr>
              <w:spacing w:line="580" w:lineRule="exact"/>
              <w:rPr>
                <w:rFonts w:ascii="宋体" w:hAnsi="宋体" w:eastAsia="宋体"/>
                <w:sz w:val="18"/>
                <w:szCs w:val="18"/>
              </w:rPr>
            </w:pPr>
          </w:p>
        </w:tc>
      </w:tr>
      <w:tr w14:paraId="05C92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70" w:type="dxa"/>
            <w:vMerge w:val="continue"/>
            <w:tcBorders>
              <w:top w:val="nil"/>
              <w:left w:val="single" w:color="auto" w:sz="4" w:space="0"/>
              <w:bottom w:val="single" w:color="auto" w:sz="4" w:space="0"/>
              <w:right w:val="single" w:color="auto" w:sz="4" w:space="0"/>
              <w:tl2br w:val="nil"/>
              <w:tr2bl w:val="nil"/>
            </w:tcBorders>
            <w:vAlign w:val="center"/>
          </w:tcPr>
          <w:p w14:paraId="7CD6AC11">
            <w:pPr>
              <w:widowControl/>
              <w:rPr>
                <w:rFonts w:ascii="宋体" w:hAnsi="宋体" w:eastAsia="宋体"/>
                <w:sz w:val="18"/>
                <w:szCs w:val="18"/>
              </w:rPr>
            </w:pPr>
          </w:p>
        </w:tc>
        <w:tc>
          <w:tcPr>
            <w:tcW w:w="2601" w:type="dxa"/>
            <w:tcBorders>
              <w:top w:val="single" w:color="auto" w:sz="4" w:space="0"/>
              <w:left w:val="single" w:color="auto" w:sz="4" w:space="0"/>
              <w:bottom w:val="single" w:color="auto" w:sz="4" w:space="0"/>
              <w:right w:val="single" w:color="auto" w:sz="4" w:space="0"/>
              <w:tl2br w:val="nil"/>
              <w:tr2bl w:val="nil"/>
            </w:tcBorders>
          </w:tcPr>
          <w:p w14:paraId="6EE4A571">
            <w:pPr>
              <w:spacing w:line="580" w:lineRule="exact"/>
              <w:rPr>
                <w:rFonts w:ascii="宋体" w:hAnsi="宋体" w:eastAsia="宋体"/>
                <w:sz w:val="18"/>
                <w:szCs w:val="18"/>
              </w:rPr>
            </w:pPr>
            <w:r>
              <w:rPr>
                <w:rFonts w:hint="eastAsia" w:ascii="宋体" w:hAnsi="宋体" w:eastAsia="宋体"/>
                <w:sz w:val="18"/>
                <w:szCs w:val="18"/>
              </w:rPr>
              <w:t>我国的会计法规体系</w:t>
            </w:r>
          </w:p>
        </w:tc>
        <w:tc>
          <w:tcPr>
            <w:tcW w:w="1012" w:type="dxa"/>
            <w:tcBorders>
              <w:top w:val="single" w:color="auto" w:sz="4" w:space="0"/>
              <w:left w:val="single" w:color="auto" w:sz="4" w:space="0"/>
              <w:bottom w:val="single" w:color="auto" w:sz="4" w:space="0"/>
              <w:right w:val="single" w:color="auto" w:sz="4" w:space="0"/>
              <w:tl2br w:val="nil"/>
              <w:tr2bl w:val="nil"/>
            </w:tcBorders>
          </w:tcPr>
          <w:p w14:paraId="5BFE2EA0">
            <w:pPr>
              <w:spacing w:line="580" w:lineRule="exact"/>
              <w:rPr>
                <w:rFonts w:ascii="宋体" w:hAnsi="宋体" w:eastAsia="宋体"/>
                <w:sz w:val="18"/>
                <w:szCs w:val="18"/>
              </w:rPr>
            </w:pPr>
            <w:r>
              <w:rPr>
                <w:rFonts w:hint="eastAsia" w:ascii="宋体" w:hAnsi="宋体" w:eastAsia="宋体"/>
                <w:sz w:val="18"/>
                <w:szCs w:val="18"/>
              </w:rPr>
              <w:t>4</w:t>
            </w:r>
          </w:p>
        </w:tc>
        <w:tc>
          <w:tcPr>
            <w:tcW w:w="1171" w:type="dxa"/>
            <w:tcBorders>
              <w:top w:val="single" w:color="auto" w:sz="4" w:space="0"/>
              <w:left w:val="single" w:color="auto" w:sz="4" w:space="0"/>
              <w:bottom w:val="single" w:color="auto" w:sz="4" w:space="0"/>
              <w:right w:val="single" w:color="auto" w:sz="4" w:space="0"/>
              <w:tl2br w:val="nil"/>
              <w:tr2bl w:val="nil"/>
            </w:tcBorders>
          </w:tcPr>
          <w:p w14:paraId="0CEC1C29">
            <w:pPr>
              <w:spacing w:line="580" w:lineRule="exact"/>
              <w:rPr>
                <w:rFonts w:ascii="宋体" w:hAnsi="宋体" w:eastAsia="宋体"/>
                <w:sz w:val="18"/>
                <w:szCs w:val="18"/>
              </w:rPr>
            </w:pPr>
            <w:r>
              <w:rPr>
                <w:rFonts w:hint="eastAsia" w:ascii="宋体" w:hAnsi="宋体" w:eastAsia="宋体"/>
                <w:sz w:val="18"/>
                <w:szCs w:val="18"/>
              </w:rPr>
              <w:t>4</w:t>
            </w:r>
          </w:p>
        </w:tc>
        <w:tc>
          <w:tcPr>
            <w:tcW w:w="1169" w:type="dxa"/>
            <w:tcBorders>
              <w:top w:val="single" w:color="auto" w:sz="4" w:space="0"/>
              <w:left w:val="single" w:color="auto" w:sz="4" w:space="0"/>
              <w:bottom w:val="single" w:color="auto" w:sz="4" w:space="0"/>
              <w:right w:val="single" w:color="auto" w:sz="4" w:space="0"/>
              <w:tl2br w:val="nil"/>
              <w:tr2bl w:val="nil"/>
            </w:tcBorders>
          </w:tcPr>
          <w:p w14:paraId="2849914F">
            <w:pPr>
              <w:spacing w:line="580" w:lineRule="exact"/>
              <w:rPr>
                <w:rFonts w:ascii="宋体" w:hAnsi="宋体" w:eastAsia="宋体"/>
                <w:sz w:val="18"/>
                <w:szCs w:val="18"/>
              </w:rPr>
            </w:pPr>
          </w:p>
        </w:tc>
      </w:tr>
      <w:tr w14:paraId="3D28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0" w:type="dxa"/>
            <w:gridSpan w:val="2"/>
            <w:tcBorders>
              <w:top w:val="single" w:color="auto" w:sz="4" w:space="0"/>
              <w:left w:val="single" w:color="auto" w:sz="4" w:space="0"/>
              <w:bottom w:val="single" w:color="auto" w:sz="4" w:space="0"/>
              <w:right w:val="single" w:color="auto" w:sz="4" w:space="0"/>
              <w:tl2br w:val="nil"/>
              <w:tr2bl w:val="nil"/>
            </w:tcBorders>
          </w:tcPr>
          <w:p w14:paraId="79E83A0F">
            <w:pPr>
              <w:spacing w:line="580" w:lineRule="exact"/>
              <w:rPr>
                <w:rFonts w:ascii="宋体" w:hAnsi="宋体" w:eastAsia="宋体"/>
                <w:sz w:val="18"/>
                <w:szCs w:val="18"/>
              </w:rPr>
            </w:pPr>
            <w:r>
              <w:rPr>
                <w:rFonts w:hint="eastAsia" w:ascii="宋体" w:hAnsi="宋体" w:eastAsia="宋体"/>
                <w:sz w:val="18"/>
                <w:szCs w:val="18"/>
              </w:rPr>
              <w:t>学时</w:t>
            </w:r>
          </w:p>
        </w:tc>
        <w:tc>
          <w:tcPr>
            <w:tcW w:w="1012" w:type="dxa"/>
            <w:tcBorders>
              <w:top w:val="single" w:color="auto" w:sz="4" w:space="0"/>
              <w:left w:val="single" w:color="auto" w:sz="4" w:space="0"/>
              <w:bottom w:val="single" w:color="auto" w:sz="4" w:space="0"/>
              <w:right w:val="single" w:color="auto" w:sz="4" w:space="0"/>
              <w:tl2br w:val="nil"/>
              <w:tr2bl w:val="nil"/>
            </w:tcBorders>
          </w:tcPr>
          <w:p w14:paraId="055569DF">
            <w:pPr>
              <w:spacing w:line="580" w:lineRule="exact"/>
              <w:rPr>
                <w:rFonts w:ascii="宋体" w:hAnsi="宋体" w:eastAsia="宋体"/>
                <w:sz w:val="18"/>
                <w:szCs w:val="18"/>
              </w:rPr>
            </w:pPr>
            <w:r>
              <w:rPr>
                <w:rFonts w:hint="eastAsia" w:ascii="宋体" w:hAnsi="宋体" w:eastAsia="宋体"/>
                <w:sz w:val="18"/>
                <w:szCs w:val="18"/>
              </w:rPr>
              <w:t>84</w:t>
            </w:r>
          </w:p>
        </w:tc>
        <w:tc>
          <w:tcPr>
            <w:tcW w:w="1171" w:type="dxa"/>
            <w:tcBorders>
              <w:top w:val="single" w:color="auto" w:sz="4" w:space="0"/>
              <w:left w:val="single" w:color="auto" w:sz="4" w:space="0"/>
              <w:bottom w:val="single" w:color="auto" w:sz="4" w:space="0"/>
              <w:right w:val="single" w:color="auto" w:sz="4" w:space="0"/>
              <w:tl2br w:val="nil"/>
              <w:tr2bl w:val="nil"/>
            </w:tcBorders>
          </w:tcPr>
          <w:p w14:paraId="26B762E9">
            <w:pPr>
              <w:spacing w:line="580" w:lineRule="exact"/>
              <w:rPr>
                <w:rFonts w:ascii="宋体" w:hAnsi="宋体" w:eastAsia="宋体"/>
                <w:sz w:val="18"/>
                <w:szCs w:val="18"/>
              </w:rPr>
            </w:pPr>
            <w:r>
              <w:rPr>
                <w:rFonts w:hint="eastAsia" w:ascii="宋体" w:hAnsi="宋体" w:eastAsia="宋体"/>
                <w:sz w:val="18"/>
                <w:szCs w:val="18"/>
              </w:rPr>
              <w:t>76</w:t>
            </w:r>
          </w:p>
        </w:tc>
        <w:tc>
          <w:tcPr>
            <w:tcW w:w="1169" w:type="dxa"/>
            <w:tcBorders>
              <w:top w:val="single" w:color="auto" w:sz="4" w:space="0"/>
              <w:left w:val="single" w:color="auto" w:sz="4" w:space="0"/>
              <w:bottom w:val="single" w:color="auto" w:sz="4" w:space="0"/>
              <w:right w:val="single" w:color="auto" w:sz="4" w:space="0"/>
              <w:tl2br w:val="nil"/>
              <w:tr2bl w:val="nil"/>
            </w:tcBorders>
          </w:tcPr>
          <w:p w14:paraId="78869552">
            <w:pPr>
              <w:spacing w:line="580" w:lineRule="exact"/>
              <w:rPr>
                <w:rFonts w:ascii="宋体" w:hAnsi="宋体" w:eastAsia="宋体"/>
                <w:sz w:val="18"/>
                <w:szCs w:val="18"/>
              </w:rPr>
            </w:pPr>
            <w:r>
              <w:rPr>
                <w:rFonts w:hint="eastAsia" w:ascii="宋体" w:hAnsi="宋体" w:eastAsia="宋体"/>
                <w:sz w:val="18"/>
                <w:szCs w:val="18"/>
              </w:rPr>
              <w:t>8</w:t>
            </w:r>
          </w:p>
        </w:tc>
      </w:tr>
    </w:tbl>
    <w:p w14:paraId="7FDD7124">
      <w:pPr>
        <w:spacing w:line="580" w:lineRule="exact"/>
        <w:ind w:firstLine="640"/>
        <w:rPr>
          <w:rFonts w:ascii="仿宋" w:hAnsi="仿宋" w:eastAsia="仿宋"/>
          <w:sz w:val="32"/>
          <w:szCs w:val="32"/>
        </w:rPr>
      </w:pPr>
    </w:p>
    <w:p w14:paraId="6783B47A">
      <w:pPr>
        <w:pStyle w:val="30"/>
        <w:rPr>
          <w:rFonts w:hint="default"/>
        </w:rPr>
      </w:pPr>
      <w:r>
        <w:t>二、课程目标</w:t>
      </w:r>
    </w:p>
    <w:p w14:paraId="77AA168A">
      <w:pPr>
        <w:pStyle w:val="31"/>
        <w:ind w:left="0" w:leftChars="0" w:firstLine="0" w:firstLineChars="0"/>
        <w:rPr>
          <w:rFonts w:hint="default"/>
        </w:rPr>
      </w:pPr>
      <w:r>
        <w:t>（一）总目标</w:t>
      </w:r>
    </w:p>
    <w:p w14:paraId="411AAABD">
      <w:pPr>
        <w:pStyle w:val="34"/>
      </w:pPr>
      <w:r>
        <w:rPr>
          <w:rFonts w:hint="eastAsia"/>
        </w:rPr>
        <w:t>通过本课程的学习，首先可以解决学生对会计专业的认同问题，并通过认同，培养学生对学习会计专业的兴趣，其次夯实专业基础、履行岗位能力、把握专业技术了解会计实践中的现状和社会生活中的功能。</w:t>
      </w:r>
      <w:r>
        <w:t xml:space="preserve"> </w:t>
      </w:r>
    </w:p>
    <w:p w14:paraId="7BB6B22C">
      <w:pPr>
        <w:pStyle w:val="31"/>
        <w:ind w:left="0" w:leftChars="0" w:firstLine="0" w:firstLineChars="0"/>
        <w:rPr>
          <w:rFonts w:hint="default"/>
        </w:rPr>
      </w:pPr>
      <w:r>
        <w:t>（二）具体目标</w:t>
      </w:r>
    </w:p>
    <w:p w14:paraId="27327BBD">
      <w:pPr>
        <w:pStyle w:val="34"/>
      </w:pPr>
      <w:r>
        <w:t>1.</w:t>
      </w:r>
      <w:r>
        <w:rPr>
          <w:rFonts w:hint="eastAsia"/>
        </w:rPr>
        <w:t>素质目标：</w:t>
      </w:r>
    </w:p>
    <w:p w14:paraId="42FFFDAC">
      <w:pPr>
        <w:pStyle w:val="34"/>
        <w:rPr>
          <w:rFonts w:ascii="仿宋" w:hAnsi="仿宋" w:eastAsia="仿宋"/>
        </w:rPr>
      </w:pPr>
      <w:r>
        <w:rPr>
          <w:rFonts w:hint="eastAsia" w:ascii="仿宋" w:hAnsi="仿宋" w:eastAsia="仿宋"/>
        </w:rPr>
        <w:t>（1）具有良好的身体素质和心理素质。</w:t>
      </w:r>
    </w:p>
    <w:p w14:paraId="019B978D">
      <w:pPr>
        <w:pStyle w:val="34"/>
        <w:rPr>
          <w:rFonts w:ascii="仿宋" w:hAnsi="仿宋" w:eastAsia="仿宋"/>
        </w:rPr>
      </w:pPr>
      <w:r>
        <w:rPr>
          <w:rFonts w:hint="eastAsia" w:ascii="仿宋" w:hAnsi="仿宋" w:eastAsia="仿宋"/>
        </w:rPr>
        <w:t>（2）养成爱岗敬业、廉洁自律的品格。</w:t>
      </w:r>
    </w:p>
    <w:p w14:paraId="0FF9AADD">
      <w:pPr>
        <w:pStyle w:val="34"/>
        <w:rPr>
          <w:rFonts w:ascii="仿宋" w:hAnsi="仿宋" w:eastAsia="仿宋"/>
        </w:rPr>
      </w:pPr>
      <w:r>
        <w:rPr>
          <w:rFonts w:hint="eastAsia" w:ascii="仿宋" w:hAnsi="仿宋" w:eastAsia="仿宋"/>
        </w:rPr>
        <w:t>（3）树立诚实守信、坚持准则、不断进取的会计工作作风。</w:t>
      </w:r>
    </w:p>
    <w:p w14:paraId="0574FC0D">
      <w:pPr>
        <w:pStyle w:val="34"/>
        <w:rPr>
          <w:rFonts w:ascii="仿宋" w:hAnsi="仿宋" w:eastAsia="仿宋"/>
        </w:rPr>
      </w:pPr>
      <w:r>
        <w:rPr>
          <w:rFonts w:hint="eastAsia" w:ascii="仿宋" w:hAnsi="仿宋" w:eastAsia="仿宋"/>
        </w:rPr>
        <w:t>（4）养成团队意识，能够与人和睦相处和正确处理人际关系。</w:t>
      </w:r>
    </w:p>
    <w:p w14:paraId="11A84129">
      <w:pPr>
        <w:pStyle w:val="34"/>
      </w:pPr>
      <w:r>
        <w:rPr>
          <w:rFonts w:hint="eastAsia"/>
        </w:rPr>
        <w:t>2.知识目标：</w:t>
      </w:r>
    </w:p>
    <w:p w14:paraId="76A314D9">
      <w:pPr>
        <w:pStyle w:val="34"/>
      </w:pPr>
      <w:r>
        <w:rPr>
          <w:rFonts w:hint="eastAsia"/>
        </w:rPr>
        <w:t>认知会计职业岗位的背景、特点和要求。</w:t>
      </w:r>
    </w:p>
    <w:p w14:paraId="49B8B859">
      <w:pPr>
        <w:pStyle w:val="34"/>
      </w:pPr>
      <w:r>
        <w:rPr>
          <w:rFonts w:hint="eastAsia"/>
        </w:rPr>
        <w:t>能正确解释会计的基本规范，能说出会计的基本术语。</w:t>
      </w:r>
    </w:p>
    <w:p w14:paraId="726277CC">
      <w:pPr>
        <w:pStyle w:val="34"/>
      </w:pPr>
      <w:r>
        <w:rPr>
          <w:rFonts w:hint="eastAsia"/>
        </w:rPr>
        <w:t>能正确判断经济业务性质和内容。</w:t>
      </w:r>
    </w:p>
    <w:p w14:paraId="60B1CB6B">
      <w:pPr>
        <w:pStyle w:val="34"/>
      </w:pPr>
      <w:r>
        <w:rPr>
          <w:rFonts w:hint="eastAsia"/>
        </w:rPr>
        <w:t>3.能力目标</w:t>
      </w:r>
    </w:p>
    <w:p w14:paraId="09713A34">
      <w:pPr>
        <w:pStyle w:val="34"/>
      </w:pPr>
      <w:r>
        <w:rPr>
          <w:rFonts w:hint="eastAsia"/>
        </w:rPr>
        <w:t>能准确按照会计的专门方法作会计基本业务处理。</w:t>
      </w:r>
    </w:p>
    <w:p w14:paraId="154AEDF1">
      <w:pPr>
        <w:pStyle w:val="34"/>
      </w:pPr>
      <w:r>
        <w:rPr>
          <w:rFonts w:hint="eastAsia"/>
        </w:rPr>
        <w:t>根据案例资料会建账、记帐、算账、更改错账。</w:t>
      </w:r>
    </w:p>
    <w:p w14:paraId="0D873C71">
      <w:pPr>
        <w:pStyle w:val="34"/>
      </w:pPr>
      <w:r>
        <w:rPr>
          <w:rFonts w:hint="eastAsia"/>
        </w:rPr>
        <w:t>具备中小企业记账员岗位的基本能力。</w:t>
      </w:r>
    </w:p>
    <w:p w14:paraId="00F5B55E">
      <w:pPr>
        <w:pStyle w:val="30"/>
        <w:ind w:firstLine="640"/>
        <w:rPr>
          <w:rFonts w:hint="default" w:ascii="仿宋" w:hAnsi="仿宋" w:eastAsia="仿宋" w:cs="仿宋_GB2312"/>
          <w:b/>
          <w:spacing w:val="17"/>
          <w:kern w:val="0"/>
        </w:rPr>
      </w:pPr>
      <w:r>
        <w:t>三、内容标准</w:t>
      </w:r>
    </w:p>
    <w:p w14:paraId="507E9595">
      <w:pPr>
        <w:spacing w:line="580" w:lineRule="exact"/>
        <w:ind w:firstLine="320" w:firstLineChars="100"/>
        <w:rPr>
          <w:rFonts w:hint="eastAsia" w:ascii="仿宋" w:hAnsi="仿宋" w:eastAsia="仿宋"/>
          <w:sz w:val="32"/>
          <w:szCs w:val="32"/>
        </w:rPr>
      </w:pPr>
      <w:r>
        <w:rPr>
          <w:rFonts w:hint="eastAsia" w:ascii="仿宋" w:hAnsi="仿宋" w:eastAsia="仿宋"/>
          <w:sz w:val="32"/>
          <w:szCs w:val="32"/>
        </w:rPr>
        <w:t>模块一  会计职业</w:t>
      </w:r>
    </w:p>
    <w:p w14:paraId="6D034C88">
      <w:pPr>
        <w:spacing w:line="580" w:lineRule="exact"/>
        <w:ind w:firstLine="320" w:firstLineChars="100"/>
        <w:rPr>
          <w:rFonts w:hint="eastAsia" w:ascii="仿宋" w:hAnsi="仿宋" w:eastAsia="仿宋"/>
          <w:sz w:val="32"/>
          <w:szCs w:val="32"/>
        </w:rPr>
      </w:pPr>
    </w:p>
    <w:p w14:paraId="76F0EE1B">
      <w:pPr>
        <w:spacing w:line="580" w:lineRule="exact"/>
        <w:ind w:firstLine="640" w:firstLineChars="200"/>
        <w:rPr>
          <w:rFonts w:ascii="仿宋" w:hAnsi="仿宋" w:eastAsia="仿宋"/>
          <w:sz w:val="32"/>
          <w:szCs w:val="32"/>
        </w:rPr>
      </w:pPr>
      <w:r>
        <w:rPr>
          <w:rFonts w:hint="eastAsia" w:ascii="仿宋" w:hAnsi="仿宋" w:eastAsia="仿宋"/>
          <w:sz w:val="32"/>
          <w:szCs w:val="32"/>
        </w:rPr>
        <w:t>1、会计基本涵义</w:t>
      </w:r>
    </w:p>
    <w:tbl>
      <w:tblPr>
        <w:tblStyle w:val="15"/>
        <w:tblW w:w="8820" w:type="dxa"/>
        <w:tblInd w:w="108" w:type="dxa"/>
        <w:tblLayout w:type="fixed"/>
        <w:tblCellMar>
          <w:top w:w="0" w:type="dxa"/>
          <w:left w:w="108" w:type="dxa"/>
          <w:bottom w:w="0" w:type="dxa"/>
          <w:right w:w="108" w:type="dxa"/>
        </w:tblCellMar>
      </w:tblPr>
      <w:tblGrid>
        <w:gridCol w:w="1278"/>
        <w:gridCol w:w="7542"/>
      </w:tblGrid>
      <w:tr w14:paraId="04696DCB">
        <w:tblPrEx>
          <w:tblCellMar>
            <w:top w:w="0" w:type="dxa"/>
            <w:left w:w="108" w:type="dxa"/>
            <w:bottom w:w="0" w:type="dxa"/>
            <w:right w:w="108" w:type="dxa"/>
          </w:tblCellMar>
        </w:tblPrEx>
        <w:trPr>
          <w:trHeight w:val="489" w:hRule="atLeast"/>
        </w:trPr>
        <w:tc>
          <w:tcPr>
            <w:tcW w:w="1278" w:type="dxa"/>
            <w:tcBorders>
              <w:top w:val="single" w:color="auto" w:sz="6" w:space="0"/>
              <w:left w:val="single" w:color="auto" w:sz="6" w:space="0"/>
              <w:bottom w:val="single" w:color="auto" w:sz="6" w:space="0"/>
              <w:right w:val="single" w:color="auto" w:sz="6" w:space="0"/>
            </w:tcBorders>
            <w:vAlign w:val="center"/>
          </w:tcPr>
          <w:p w14:paraId="1736EFF8">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参考学时</w:t>
            </w:r>
          </w:p>
        </w:tc>
        <w:tc>
          <w:tcPr>
            <w:tcW w:w="7542" w:type="dxa"/>
            <w:tcBorders>
              <w:top w:val="single" w:color="auto" w:sz="6" w:space="0"/>
              <w:left w:val="single" w:color="auto" w:sz="6" w:space="0"/>
              <w:bottom w:val="single" w:color="auto" w:sz="6" w:space="0"/>
              <w:right w:val="single" w:color="auto" w:sz="6" w:space="0"/>
            </w:tcBorders>
          </w:tcPr>
          <w:p w14:paraId="27A45C56">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 xml:space="preserve">                                4    </w:t>
            </w:r>
          </w:p>
        </w:tc>
      </w:tr>
      <w:tr w14:paraId="33E7D3C0">
        <w:tblPrEx>
          <w:tblCellMar>
            <w:top w:w="0" w:type="dxa"/>
            <w:left w:w="108" w:type="dxa"/>
            <w:bottom w:w="0" w:type="dxa"/>
            <w:right w:w="108" w:type="dxa"/>
          </w:tblCellMar>
        </w:tblPrEx>
        <w:trPr>
          <w:trHeight w:val="893" w:hRule="atLeast"/>
        </w:trPr>
        <w:tc>
          <w:tcPr>
            <w:tcW w:w="1278" w:type="dxa"/>
            <w:tcBorders>
              <w:top w:val="single" w:color="auto" w:sz="6" w:space="0"/>
              <w:left w:val="single" w:color="auto" w:sz="6" w:space="0"/>
              <w:bottom w:val="single" w:color="auto" w:sz="6" w:space="0"/>
              <w:right w:val="single" w:color="auto" w:sz="6" w:space="0"/>
            </w:tcBorders>
            <w:vAlign w:val="center"/>
          </w:tcPr>
          <w:p w14:paraId="4D7940CF">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学习目标</w:t>
            </w:r>
          </w:p>
        </w:tc>
        <w:tc>
          <w:tcPr>
            <w:tcW w:w="7542" w:type="dxa"/>
            <w:tcBorders>
              <w:top w:val="single" w:color="auto" w:sz="6" w:space="0"/>
              <w:left w:val="single" w:color="auto" w:sz="6" w:space="0"/>
              <w:bottom w:val="single" w:color="auto" w:sz="6" w:space="0"/>
              <w:right w:val="single" w:color="auto" w:sz="6" w:space="0"/>
            </w:tcBorders>
          </w:tcPr>
          <w:p w14:paraId="6F9A2FAF">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 xml:space="preserve">  能解释会计的概念、会计的职能、会计的目标、会计对象，能归纳会计的基本方法体系。能说出会计的产生和发展的状况。</w:t>
            </w:r>
          </w:p>
        </w:tc>
      </w:tr>
      <w:tr w14:paraId="05EB9028">
        <w:tblPrEx>
          <w:tblCellMar>
            <w:top w:w="0" w:type="dxa"/>
            <w:left w:w="108" w:type="dxa"/>
            <w:bottom w:w="0" w:type="dxa"/>
            <w:right w:w="108" w:type="dxa"/>
          </w:tblCellMar>
        </w:tblPrEx>
        <w:trPr>
          <w:trHeight w:val="973" w:hRule="atLeast"/>
        </w:trPr>
        <w:tc>
          <w:tcPr>
            <w:tcW w:w="1278" w:type="dxa"/>
            <w:tcBorders>
              <w:top w:val="single" w:color="auto" w:sz="6" w:space="0"/>
              <w:left w:val="single" w:color="auto" w:sz="6" w:space="0"/>
              <w:bottom w:val="single" w:color="auto" w:sz="6" w:space="0"/>
              <w:right w:val="single" w:color="auto" w:sz="6" w:space="0"/>
            </w:tcBorders>
            <w:vAlign w:val="center"/>
          </w:tcPr>
          <w:p w14:paraId="4B2682BB">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相关知识</w:t>
            </w:r>
          </w:p>
        </w:tc>
        <w:tc>
          <w:tcPr>
            <w:tcW w:w="7542" w:type="dxa"/>
            <w:tcBorders>
              <w:top w:val="single" w:color="auto" w:sz="6" w:space="0"/>
              <w:left w:val="single" w:color="auto" w:sz="6" w:space="0"/>
              <w:bottom w:val="single" w:color="auto" w:sz="6" w:space="0"/>
              <w:right w:val="single" w:color="auto" w:sz="6" w:space="0"/>
            </w:tcBorders>
          </w:tcPr>
          <w:p w14:paraId="67124B4E">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会计的含义，会计基本职能，会计的扩展职能，会计基本目标，会计的对象，会计的基本核算方法。</w:t>
            </w:r>
          </w:p>
        </w:tc>
      </w:tr>
      <w:tr w14:paraId="0B41A7FB">
        <w:tblPrEx>
          <w:tblCellMar>
            <w:top w:w="0" w:type="dxa"/>
            <w:left w:w="108" w:type="dxa"/>
            <w:bottom w:w="0" w:type="dxa"/>
            <w:right w:w="108" w:type="dxa"/>
          </w:tblCellMar>
        </w:tblPrEx>
        <w:trPr>
          <w:trHeight w:val="849" w:hRule="atLeast"/>
        </w:trPr>
        <w:tc>
          <w:tcPr>
            <w:tcW w:w="1278" w:type="dxa"/>
            <w:tcBorders>
              <w:top w:val="single" w:color="auto" w:sz="6" w:space="0"/>
              <w:left w:val="single" w:color="auto" w:sz="6" w:space="0"/>
              <w:bottom w:val="single" w:color="auto" w:sz="6" w:space="0"/>
              <w:right w:val="single" w:color="auto" w:sz="6" w:space="0"/>
            </w:tcBorders>
            <w:vAlign w:val="center"/>
          </w:tcPr>
          <w:p w14:paraId="609181E6">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相关实践</w:t>
            </w:r>
          </w:p>
        </w:tc>
        <w:tc>
          <w:tcPr>
            <w:tcW w:w="7542" w:type="dxa"/>
            <w:tcBorders>
              <w:top w:val="single" w:color="auto" w:sz="6" w:space="0"/>
              <w:left w:val="single" w:color="auto" w:sz="6" w:space="0"/>
              <w:bottom w:val="single" w:color="auto" w:sz="6" w:space="0"/>
              <w:right w:val="single" w:color="auto" w:sz="6" w:space="0"/>
            </w:tcBorders>
          </w:tcPr>
          <w:p w14:paraId="59871B7A">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 xml:space="preserve">会计的基本实践体现：如会计发展的相关实物展示，会计实践的案例，企业会计工作参观等。    </w:t>
            </w:r>
          </w:p>
        </w:tc>
      </w:tr>
      <w:tr w14:paraId="6E678BFD">
        <w:tblPrEx>
          <w:tblCellMar>
            <w:top w:w="0" w:type="dxa"/>
            <w:left w:w="108" w:type="dxa"/>
            <w:bottom w:w="0" w:type="dxa"/>
            <w:right w:w="108" w:type="dxa"/>
          </w:tblCellMar>
        </w:tblPrEx>
        <w:trPr>
          <w:trHeight w:val="849" w:hRule="atLeast"/>
        </w:trPr>
        <w:tc>
          <w:tcPr>
            <w:tcW w:w="1278" w:type="dxa"/>
            <w:tcBorders>
              <w:top w:val="single" w:color="auto" w:sz="6" w:space="0"/>
              <w:left w:val="single" w:color="auto" w:sz="6" w:space="0"/>
              <w:bottom w:val="single" w:color="auto" w:sz="6" w:space="0"/>
              <w:right w:val="single" w:color="auto" w:sz="6" w:space="0"/>
            </w:tcBorders>
            <w:vAlign w:val="center"/>
          </w:tcPr>
          <w:p w14:paraId="1F10A31F">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扩展知识</w:t>
            </w:r>
          </w:p>
        </w:tc>
        <w:tc>
          <w:tcPr>
            <w:tcW w:w="7542" w:type="dxa"/>
            <w:tcBorders>
              <w:top w:val="single" w:color="auto" w:sz="6" w:space="0"/>
              <w:left w:val="single" w:color="auto" w:sz="6" w:space="0"/>
              <w:bottom w:val="single" w:color="auto" w:sz="6" w:space="0"/>
              <w:right w:val="single" w:color="auto" w:sz="6" w:space="0"/>
            </w:tcBorders>
          </w:tcPr>
          <w:p w14:paraId="0AC524BD">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会计产生和发展过程；会计发展中的专有名词，如：结绳记事；四柱清册、龙门账等等。</w:t>
            </w:r>
          </w:p>
        </w:tc>
      </w:tr>
      <w:tr w14:paraId="70368ECA">
        <w:tblPrEx>
          <w:tblCellMar>
            <w:top w:w="0" w:type="dxa"/>
            <w:left w:w="108" w:type="dxa"/>
            <w:bottom w:w="0" w:type="dxa"/>
            <w:right w:w="108" w:type="dxa"/>
          </w:tblCellMar>
        </w:tblPrEx>
        <w:trPr>
          <w:trHeight w:val="558" w:hRule="atLeast"/>
        </w:trPr>
        <w:tc>
          <w:tcPr>
            <w:tcW w:w="1278" w:type="dxa"/>
            <w:tcBorders>
              <w:top w:val="single" w:color="auto" w:sz="6" w:space="0"/>
              <w:left w:val="single" w:color="auto" w:sz="6" w:space="0"/>
              <w:bottom w:val="single" w:color="auto" w:sz="6" w:space="0"/>
              <w:right w:val="single" w:color="auto" w:sz="6" w:space="0"/>
            </w:tcBorders>
            <w:vAlign w:val="center"/>
          </w:tcPr>
          <w:p w14:paraId="23E546CF">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考核建议</w:t>
            </w:r>
          </w:p>
        </w:tc>
        <w:tc>
          <w:tcPr>
            <w:tcW w:w="7542" w:type="dxa"/>
            <w:tcBorders>
              <w:top w:val="single" w:color="auto" w:sz="6" w:space="0"/>
              <w:left w:val="single" w:color="auto" w:sz="6" w:space="0"/>
              <w:bottom w:val="single" w:color="auto" w:sz="6" w:space="0"/>
              <w:right w:val="single" w:color="auto" w:sz="6" w:space="0"/>
            </w:tcBorders>
            <w:vAlign w:val="center"/>
          </w:tcPr>
          <w:p w14:paraId="4E852E22">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知识理解的测试。</w:t>
            </w:r>
          </w:p>
        </w:tc>
      </w:tr>
    </w:tbl>
    <w:p w14:paraId="03D5873D">
      <w:pPr>
        <w:spacing w:line="580" w:lineRule="exact"/>
        <w:rPr>
          <w:rFonts w:ascii="仿宋" w:hAnsi="仿宋" w:eastAsia="仿宋"/>
          <w:sz w:val="28"/>
          <w:szCs w:val="28"/>
        </w:rPr>
      </w:pPr>
    </w:p>
    <w:p w14:paraId="00320E96">
      <w:pPr>
        <w:spacing w:line="580" w:lineRule="exact"/>
        <w:rPr>
          <w:rFonts w:ascii="仿宋" w:hAnsi="仿宋" w:eastAsia="仿宋"/>
          <w:sz w:val="28"/>
          <w:szCs w:val="28"/>
        </w:rPr>
      </w:pPr>
    </w:p>
    <w:p w14:paraId="1BDAE562">
      <w:pPr>
        <w:spacing w:line="580" w:lineRule="exact"/>
        <w:rPr>
          <w:rFonts w:ascii="仿宋" w:hAnsi="仿宋" w:eastAsia="仿宋"/>
          <w:sz w:val="28"/>
          <w:szCs w:val="28"/>
        </w:rPr>
      </w:pPr>
    </w:p>
    <w:p w14:paraId="7BCBA9EC">
      <w:pPr>
        <w:spacing w:line="580" w:lineRule="exact"/>
        <w:ind w:firstLine="640" w:firstLineChars="200"/>
        <w:rPr>
          <w:rFonts w:ascii="仿宋" w:hAnsi="仿宋" w:eastAsia="仿宋"/>
          <w:sz w:val="32"/>
          <w:szCs w:val="32"/>
        </w:rPr>
      </w:pPr>
      <w:r>
        <w:rPr>
          <w:rFonts w:hint="eastAsia" w:ascii="仿宋" w:hAnsi="仿宋" w:eastAsia="仿宋"/>
          <w:sz w:val="32"/>
          <w:szCs w:val="32"/>
        </w:rPr>
        <w:t>2、会计职业岗位</w:t>
      </w:r>
    </w:p>
    <w:tbl>
      <w:tblPr>
        <w:tblStyle w:val="15"/>
        <w:tblW w:w="8820" w:type="dxa"/>
        <w:tblInd w:w="108" w:type="dxa"/>
        <w:tblLayout w:type="fixed"/>
        <w:tblCellMar>
          <w:top w:w="0" w:type="dxa"/>
          <w:left w:w="108" w:type="dxa"/>
          <w:bottom w:w="0" w:type="dxa"/>
          <w:right w:w="108" w:type="dxa"/>
        </w:tblCellMar>
      </w:tblPr>
      <w:tblGrid>
        <w:gridCol w:w="1221"/>
        <w:gridCol w:w="7599"/>
      </w:tblGrid>
      <w:tr w14:paraId="07739E3E">
        <w:tblPrEx>
          <w:tblCellMar>
            <w:top w:w="0" w:type="dxa"/>
            <w:left w:w="108" w:type="dxa"/>
            <w:bottom w:w="0" w:type="dxa"/>
            <w:right w:w="108" w:type="dxa"/>
          </w:tblCellMar>
        </w:tblPrEx>
        <w:trPr>
          <w:trHeight w:val="489" w:hRule="atLeast"/>
        </w:trPr>
        <w:tc>
          <w:tcPr>
            <w:tcW w:w="1221" w:type="dxa"/>
            <w:tcBorders>
              <w:top w:val="single" w:color="auto" w:sz="6" w:space="0"/>
              <w:left w:val="single" w:color="auto" w:sz="6" w:space="0"/>
              <w:bottom w:val="single" w:color="auto" w:sz="6" w:space="0"/>
              <w:right w:val="single" w:color="auto" w:sz="6" w:space="0"/>
            </w:tcBorders>
            <w:vAlign w:val="center"/>
          </w:tcPr>
          <w:p w14:paraId="43BEDC52">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参考学时</w:t>
            </w:r>
          </w:p>
        </w:tc>
        <w:tc>
          <w:tcPr>
            <w:tcW w:w="7599" w:type="dxa"/>
            <w:tcBorders>
              <w:top w:val="single" w:color="auto" w:sz="6" w:space="0"/>
              <w:left w:val="single" w:color="auto" w:sz="6" w:space="0"/>
              <w:bottom w:val="single" w:color="auto" w:sz="6" w:space="0"/>
              <w:right w:val="single" w:color="auto" w:sz="6" w:space="0"/>
            </w:tcBorders>
          </w:tcPr>
          <w:p w14:paraId="39E90387">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2</w:t>
            </w:r>
          </w:p>
        </w:tc>
      </w:tr>
      <w:tr w14:paraId="389990D0">
        <w:tblPrEx>
          <w:tblCellMar>
            <w:top w:w="0" w:type="dxa"/>
            <w:left w:w="108" w:type="dxa"/>
            <w:bottom w:w="0" w:type="dxa"/>
            <w:right w:w="108" w:type="dxa"/>
          </w:tblCellMar>
        </w:tblPrEx>
        <w:trPr>
          <w:trHeight w:val="1185" w:hRule="atLeast"/>
        </w:trPr>
        <w:tc>
          <w:tcPr>
            <w:tcW w:w="1221" w:type="dxa"/>
            <w:tcBorders>
              <w:top w:val="single" w:color="auto" w:sz="6" w:space="0"/>
              <w:left w:val="single" w:color="auto" w:sz="6" w:space="0"/>
              <w:bottom w:val="single" w:color="auto" w:sz="6" w:space="0"/>
              <w:right w:val="single" w:color="auto" w:sz="6" w:space="0"/>
            </w:tcBorders>
            <w:vAlign w:val="center"/>
          </w:tcPr>
          <w:p w14:paraId="0125C3DE">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学习目标</w:t>
            </w:r>
          </w:p>
        </w:tc>
        <w:tc>
          <w:tcPr>
            <w:tcW w:w="7599" w:type="dxa"/>
            <w:tcBorders>
              <w:top w:val="single" w:color="auto" w:sz="6" w:space="0"/>
              <w:left w:val="single" w:color="auto" w:sz="6" w:space="0"/>
              <w:bottom w:val="single" w:color="auto" w:sz="6" w:space="0"/>
              <w:right w:val="single" w:color="auto" w:sz="6" w:space="0"/>
            </w:tcBorders>
          </w:tcPr>
          <w:p w14:paraId="39869DAA">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 xml:space="preserve">    能说出社会中会计及相关岗位的种类和范围，各岗位的从业资格，素质要求，从业条件，专业生涯发展的一般规律，能简单规划自己的专业生涯，能产生对专业的兴趣和向往。</w:t>
            </w:r>
          </w:p>
        </w:tc>
      </w:tr>
      <w:tr w14:paraId="31C27B71">
        <w:tblPrEx>
          <w:tblCellMar>
            <w:top w:w="0" w:type="dxa"/>
            <w:left w:w="108" w:type="dxa"/>
            <w:bottom w:w="0" w:type="dxa"/>
            <w:right w:w="108" w:type="dxa"/>
          </w:tblCellMar>
        </w:tblPrEx>
        <w:trPr>
          <w:trHeight w:val="1070" w:hRule="atLeast"/>
        </w:trPr>
        <w:tc>
          <w:tcPr>
            <w:tcW w:w="1221" w:type="dxa"/>
            <w:tcBorders>
              <w:top w:val="single" w:color="auto" w:sz="6" w:space="0"/>
              <w:left w:val="single" w:color="auto" w:sz="6" w:space="0"/>
              <w:bottom w:val="single" w:color="auto" w:sz="6" w:space="0"/>
              <w:right w:val="single" w:color="auto" w:sz="6" w:space="0"/>
            </w:tcBorders>
            <w:vAlign w:val="center"/>
          </w:tcPr>
          <w:p w14:paraId="3798222C">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相关知识</w:t>
            </w:r>
          </w:p>
        </w:tc>
        <w:tc>
          <w:tcPr>
            <w:tcW w:w="7599" w:type="dxa"/>
            <w:tcBorders>
              <w:top w:val="single" w:color="auto" w:sz="6" w:space="0"/>
              <w:left w:val="single" w:color="auto" w:sz="6" w:space="0"/>
              <w:bottom w:val="single" w:color="auto" w:sz="6" w:space="0"/>
              <w:right w:val="single" w:color="auto" w:sz="6" w:space="0"/>
            </w:tcBorders>
          </w:tcPr>
          <w:p w14:paraId="24CFFC52">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会计岗位范围；注册会计师岗位范围；审计岗位范围；会计从业资格；注册会计师执业资格；审计从业资格；会计人员素质要求。</w:t>
            </w:r>
          </w:p>
        </w:tc>
      </w:tr>
      <w:tr w14:paraId="210DE496">
        <w:tblPrEx>
          <w:tblCellMar>
            <w:top w:w="0" w:type="dxa"/>
            <w:left w:w="108" w:type="dxa"/>
            <w:bottom w:w="0" w:type="dxa"/>
            <w:right w:w="108" w:type="dxa"/>
          </w:tblCellMar>
        </w:tblPrEx>
        <w:trPr>
          <w:trHeight w:val="607" w:hRule="atLeast"/>
        </w:trPr>
        <w:tc>
          <w:tcPr>
            <w:tcW w:w="1221" w:type="dxa"/>
            <w:tcBorders>
              <w:top w:val="single" w:color="auto" w:sz="6" w:space="0"/>
              <w:left w:val="single" w:color="auto" w:sz="6" w:space="0"/>
              <w:bottom w:val="single" w:color="auto" w:sz="6" w:space="0"/>
              <w:right w:val="single" w:color="auto" w:sz="6" w:space="0"/>
            </w:tcBorders>
            <w:vAlign w:val="center"/>
          </w:tcPr>
          <w:p w14:paraId="46923F6A">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相关实践</w:t>
            </w:r>
          </w:p>
        </w:tc>
        <w:tc>
          <w:tcPr>
            <w:tcW w:w="7599" w:type="dxa"/>
            <w:tcBorders>
              <w:top w:val="single" w:color="auto" w:sz="6" w:space="0"/>
              <w:left w:val="single" w:color="auto" w:sz="6" w:space="0"/>
              <w:bottom w:val="single" w:color="auto" w:sz="6" w:space="0"/>
              <w:right w:val="single" w:color="auto" w:sz="6" w:space="0"/>
            </w:tcBorders>
          </w:tcPr>
          <w:p w14:paraId="0F64C135">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会计岗位参观、会计职业岗位有关规定文件的收集、阅读专业生涯规划。</w:t>
            </w:r>
          </w:p>
        </w:tc>
      </w:tr>
      <w:tr w14:paraId="630FC62B">
        <w:tblPrEx>
          <w:tblCellMar>
            <w:top w:w="0" w:type="dxa"/>
            <w:left w:w="108" w:type="dxa"/>
            <w:bottom w:w="0" w:type="dxa"/>
            <w:right w:w="108" w:type="dxa"/>
          </w:tblCellMar>
        </w:tblPrEx>
        <w:trPr>
          <w:trHeight w:val="961" w:hRule="atLeast"/>
        </w:trPr>
        <w:tc>
          <w:tcPr>
            <w:tcW w:w="1221" w:type="dxa"/>
            <w:tcBorders>
              <w:top w:val="single" w:color="auto" w:sz="6" w:space="0"/>
              <w:left w:val="single" w:color="auto" w:sz="6" w:space="0"/>
              <w:bottom w:val="single" w:color="auto" w:sz="6" w:space="0"/>
              <w:right w:val="single" w:color="auto" w:sz="6" w:space="0"/>
            </w:tcBorders>
            <w:vAlign w:val="center"/>
          </w:tcPr>
          <w:p w14:paraId="0554CB59">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扩展知识</w:t>
            </w:r>
          </w:p>
        </w:tc>
        <w:tc>
          <w:tcPr>
            <w:tcW w:w="7599" w:type="dxa"/>
            <w:tcBorders>
              <w:top w:val="single" w:color="auto" w:sz="6" w:space="0"/>
              <w:left w:val="single" w:color="auto" w:sz="6" w:space="0"/>
              <w:bottom w:val="single" w:color="auto" w:sz="6" w:space="0"/>
              <w:right w:val="single" w:color="auto" w:sz="6" w:space="0"/>
            </w:tcBorders>
          </w:tcPr>
          <w:p w14:paraId="44C11CE1">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会计职称；如何成为注册会计师；与专业相关的可从事的职业；生涯</w:t>
            </w:r>
          </w:p>
          <w:p w14:paraId="02A5444F">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规划提示。</w:t>
            </w:r>
          </w:p>
        </w:tc>
      </w:tr>
      <w:tr w14:paraId="7B0ADF8D">
        <w:tblPrEx>
          <w:tblCellMar>
            <w:top w:w="0" w:type="dxa"/>
            <w:left w:w="108" w:type="dxa"/>
            <w:bottom w:w="0" w:type="dxa"/>
            <w:right w:w="108" w:type="dxa"/>
          </w:tblCellMar>
        </w:tblPrEx>
        <w:trPr>
          <w:trHeight w:val="401" w:hRule="atLeast"/>
        </w:trPr>
        <w:tc>
          <w:tcPr>
            <w:tcW w:w="1221" w:type="dxa"/>
            <w:tcBorders>
              <w:top w:val="single" w:color="auto" w:sz="6" w:space="0"/>
              <w:left w:val="single" w:color="auto" w:sz="6" w:space="0"/>
              <w:bottom w:val="single" w:color="auto" w:sz="6" w:space="0"/>
              <w:right w:val="single" w:color="auto" w:sz="6" w:space="0"/>
            </w:tcBorders>
            <w:vAlign w:val="center"/>
          </w:tcPr>
          <w:p w14:paraId="32427C71">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考核建议</w:t>
            </w:r>
          </w:p>
        </w:tc>
        <w:tc>
          <w:tcPr>
            <w:tcW w:w="7599" w:type="dxa"/>
            <w:tcBorders>
              <w:top w:val="single" w:color="auto" w:sz="6" w:space="0"/>
              <w:left w:val="single" w:color="auto" w:sz="6" w:space="0"/>
              <w:bottom w:val="single" w:color="auto" w:sz="6" w:space="0"/>
              <w:right w:val="single" w:color="auto" w:sz="6" w:space="0"/>
            </w:tcBorders>
          </w:tcPr>
          <w:p w14:paraId="3F9F67A7">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专业生涯规划书制作。</w:t>
            </w:r>
          </w:p>
        </w:tc>
      </w:tr>
    </w:tbl>
    <w:p w14:paraId="153C3EA3">
      <w:pPr>
        <w:spacing w:line="580" w:lineRule="exact"/>
        <w:rPr>
          <w:rFonts w:ascii="仿宋" w:hAnsi="仿宋" w:eastAsia="仿宋"/>
          <w:sz w:val="28"/>
          <w:szCs w:val="28"/>
        </w:rPr>
      </w:pPr>
    </w:p>
    <w:p w14:paraId="4CFD7B43">
      <w:pPr>
        <w:spacing w:line="580" w:lineRule="exact"/>
        <w:ind w:firstLine="640" w:firstLineChars="200"/>
        <w:rPr>
          <w:rFonts w:ascii="仿宋" w:hAnsi="仿宋" w:eastAsia="仿宋"/>
          <w:sz w:val="32"/>
          <w:szCs w:val="32"/>
        </w:rPr>
      </w:pPr>
      <w:r>
        <w:rPr>
          <w:rFonts w:hint="eastAsia" w:ascii="仿宋" w:hAnsi="仿宋" w:eastAsia="仿宋"/>
          <w:sz w:val="32"/>
          <w:szCs w:val="32"/>
        </w:rPr>
        <w:t>3、会计基本原则</w:t>
      </w:r>
    </w:p>
    <w:tbl>
      <w:tblPr>
        <w:tblStyle w:val="15"/>
        <w:tblW w:w="8820" w:type="dxa"/>
        <w:tblInd w:w="108" w:type="dxa"/>
        <w:tblLayout w:type="fixed"/>
        <w:tblCellMar>
          <w:top w:w="0" w:type="dxa"/>
          <w:left w:w="108" w:type="dxa"/>
          <w:bottom w:w="0" w:type="dxa"/>
          <w:right w:w="108" w:type="dxa"/>
        </w:tblCellMar>
      </w:tblPr>
      <w:tblGrid>
        <w:gridCol w:w="1221"/>
        <w:gridCol w:w="7599"/>
      </w:tblGrid>
      <w:tr w14:paraId="465CB31A">
        <w:tblPrEx>
          <w:tblCellMar>
            <w:top w:w="0" w:type="dxa"/>
            <w:left w:w="108" w:type="dxa"/>
            <w:bottom w:w="0" w:type="dxa"/>
            <w:right w:w="108" w:type="dxa"/>
          </w:tblCellMar>
        </w:tblPrEx>
        <w:trPr>
          <w:trHeight w:val="443" w:hRule="atLeast"/>
        </w:trPr>
        <w:tc>
          <w:tcPr>
            <w:tcW w:w="1221" w:type="dxa"/>
            <w:tcBorders>
              <w:top w:val="single" w:color="auto" w:sz="6" w:space="0"/>
              <w:left w:val="single" w:color="auto" w:sz="6" w:space="0"/>
              <w:bottom w:val="single" w:color="auto" w:sz="6" w:space="0"/>
              <w:right w:val="single" w:color="auto" w:sz="6" w:space="0"/>
            </w:tcBorders>
            <w:vAlign w:val="center"/>
          </w:tcPr>
          <w:p w14:paraId="4EFEFD68">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参考学时</w:t>
            </w:r>
          </w:p>
        </w:tc>
        <w:tc>
          <w:tcPr>
            <w:tcW w:w="7599" w:type="dxa"/>
            <w:tcBorders>
              <w:top w:val="single" w:color="auto" w:sz="6" w:space="0"/>
              <w:left w:val="single" w:color="auto" w:sz="6" w:space="0"/>
              <w:bottom w:val="single" w:color="auto" w:sz="6" w:space="0"/>
              <w:right w:val="single" w:color="auto" w:sz="6" w:space="0"/>
            </w:tcBorders>
          </w:tcPr>
          <w:p w14:paraId="5394BA93">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4</w:t>
            </w:r>
          </w:p>
        </w:tc>
      </w:tr>
      <w:tr w14:paraId="37AEC212">
        <w:tblPrEx>
          <w:tblCellMar>
            <w:top w:w="0" w:type="dxa"/>
            <w:left w:w="108" w:type="dxa"/>
            <w:bottom w:w="0" w:type="dxa"/>
            <w:right w:w="108" w:type="dxa"/>
          </w:tblCellMar>
        </w:tblPrEx>
        <w:trPr>
          <w:trHeight w:val="881" w:hRule="atLeast"/>
        </w:trPr>
        <w:tc>
          <w:tcPr>
            <w:tcW w:w="1221" w:type="dxa"/>
            <w:tcBorders>
              <w:top w:val="single" w:color="auto" w:sz="6" w:space="0"/>
              <w:left w:val="single" w:color="auto" w:sz="6" w:space="0"/>
              <w:bottom w:val="single" w:color="auto" w:sz="6" w:space="0"/>
              <w:right w:val="single" w:color="auto" w:sz="6" w:space="0"/>
            </w:tcBorders>
            <w:vAlign w:val="center"/>
          </w:tcPr>
          <w:p w14:paraId="1B98434B">
            <w:pPr>
              <w:spacing w:line="580" w:lineRule="exact"/>
              <w:rPr>
                <w:rFonts w:asciiTheme="minorEastAsia" w:hAnsiTheme="minorEastAsia" w:cstheme="minorEastAsia"/>
                <w:sz w:val="18"/>
                <w:szCs w:val="18"/>
              </w:rPr>
            </w:pPr>
          </w:p>
          <w:p w14:paraId="75EAFB1C">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学习目标</w:t>
            </w:r>
          </w:p>
        </w:tc>
        <w:tc>
          <w:tcPr>
            <w:tcW w:w="7599" w:type="dxa"/>
            <w:tcBorders>
              <w:top w:val="single" w:color="auto" w:sz="6" w:space="0"/>
              <w:left w:val="single" w:color="auto" w:sz="6" w:space="0"/>
              <w:bottom w:val="single" w:color="auto" w:sz="6" w:space="0"/>
              <w:right w:val="single" w:color="auto" w:sz="6" w:space="0"/>
            </w:tcBorders>
          </w:tcPr>
          <w:p w14:paraId="31D038FA">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能说出会计假设条件，能解释会计核算的基本原则；能运用会计基本原则处理具体业务。</w:t>
            </w:r>
          </w:p>
        </w:tc>
      </w:tr>
      <w:tr w14:paraId="1ECAA366">
        <w:tblPrEx>
          <w:tblCellMar>
            <w:top w:w="0" w:type="dxa"/>
            <w:left w:w="108" w:type="dxa"/>
            <w:bottom w:w="0" w:type="dxa"/>
            <w:right w:w="108" w:type="dxa"/>
          </w:tblCellMar>
        </w:tblPrEx>
        <w:trPr>
          <w:trHeight w:val="1350" w:hRule="atLeast"/>
        </w:trPr>
        <w:tc>
          <w:tcPr>
            <w:tcW w:w="1221" w:type="dxa"/>
            <w:tcBorders>
              <w:top w:val="single" w:color="auto" w:sz="6" w:space="0"/>
              <w:left w:val="single" w:color="auto" w:sz="6" w:space="0"/>
              <w:bottom w:val="single" w:color="auto" w:sz="6" w:space="0"/>
              <w:right w:val="single" w:color="auto" w:sz="6" w:space="0"/>
            </w:tcBorders>
            <w:vAlign w:val="center"/>
          </w:tcPr>
          <w:p w14:paraId="6A6D56C7">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相关知识</w:t>
            </w:r>
          </w:p>
        </w:tc>
        <w:tc>
          <w:tcPr>
            <w:tcW w:w="7599" w:type="dxa"/>
            <w:tcBorders>
              <w:top w:val="single" w:color="auto" w:sz="6" w:space="0"/>
              <w:left w:val="single" w:color="auto" w:sz="6" w:space="0"/>
              <w:bottom w:val="single" w:color="auto" w:sz="6" w:space="0"/>
              <w:right w:val="single" w:color="auto" w:sz="6" w:space="0"/>
            </w:tcBorders>
          </w:tcPr>
          <w:p w14:paraId="244961E8">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会计主体的涵义、作用；和法律主体的关系；持续经营的概念、作用；会计分期的概念、作用、划分；货币计量的划分、作用、确定；八项会计信息质量要求的概念、要求、目的；权责发生制原则与收付实现制原则的运用、区别。</w:t>
            </w:r>
          </w:p>
        </w:tc>
      </w:tr>
      <w:tr w14:paraId="22984848">
        <w:tblPrEx>
          <w:tblCellMar>
            <w:top w:w="0" w:type="dxa"/>
            <w:left w:w="108" w:type="dxa"/>
            <w:bottom w:w="0" w:type="dxa"/>
            <w:right w:w="108" w:type="dxa"/>
          </w:tblCellMar>
        </w:tblPrEx>
        <w:trPr>
          <w:trHeight w:val="449" w:hRule="atLeast"/>
        </w:trPr>
        <w:tc>
          <w:tcPr>
            <w:tcW w:w="1221" w:type="dxa"/>
            <w:tcBorders>
              <w:top w:val="single" w:color="auto" w:sz="6" w:space="0"/>
              <w:left w:val="single" w:color="auto" w:sz="6" w:space="0"/>
              <w:bottom w:val="single" w:color="auto" w:sz="6" w:space="0"/>
              <w:right w:val="single" w:color="auto" w:sz="6" w:space="0"/>
            </w:tcBorders>
            <w:vAlign w:val="center"/>
          </w:tcPr>
          <w:p w14:paraId="08027334">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相关实践</w:t>
            </w:r>
          </w:p>
        </w:tc>
        <w:tc>
          <w:tcPr>
            <w:tcW w:w="7599" w:type="dxa"/>
            <w:tcBorders>
              <w:top w:val="single" w:color="auto" w:sz="6" w:space="0"/>
              <w:left w:val="single" w:color="auto" w:sz="6" w:space="0"/>
              <w:bottom w:val="single" w:color="auto" w:sz="6" w:space="0"/>
              <w:right w:val="single" w:color="auto" w:sz="6" w:space="0"/>
            </w:tcBorders>
          </w:tcPr>
          <w:p w14:paraId="54376FC7">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权责发生制原则与收付实现制原则的选择运用案例。</w:t>
            </w:r>
          </w:p>
        </w:tc>
      </w:tr>
      <w:tr w14:paraId="64E35EDB">
        <w:tblPrEx>
          <w:tblCellMar>
            <w:top w:w="0" w:type="dxa"/>
            <w:left w:w="108" w:type="dxa"/>
            <w:bottom w:w="0" w:type="dxa"/>
            <w:right w:w="108" w:type="dxa"/>
          </w:tblCellMar>
        </w:tblPrEx>
        <w:trPr>
          <w:trHeight w:val="449" w:hRule="atLeast"/>
        </w:trPr>
        <w:tc>
          <w:tcPr>
            <w:tcW w:w="1221" w:type="dxa"/>
            <w:tcBorders>
              <w:top w:val="single" w:color="auto" w:sz="6" w:space="0"/>
              <w:left w:val="single" w:color="auto" w:sz="6" w:space="0"/>
              <w:bottom w:val="single" w:color="auto" w:sz="6" w:space="0"/>
              <w:right w:val="single" w:color="auto" w:sz="6" w:space="0"/>
            </w:tcBorders>
            <w:vAlign w:val="center"/>
          </w:tcPr>
          <w:p w14:paraId="4B48ADE2">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扩展知识</w:t>
            </w:r>
          </w:p>
        </w:tc>
        <w:tc>
          <w:tcPr>
            <w:tcW w:w="7599" w:type="dxa"/>
            <w:tcBorders>
              <w:top w:val="single" w:color="auto" w:sz="6" w:space="0"/>
              <w:left w:val="single" w:color="auto" w:sz="6" w:space="0"/>
              <w:bottom w:val="single" w:color="auto" w:sz="6" w:space="0"/>
              <w:right w:val="single" w:color="auto" w:sz="6" w:space="0"/>
            </w:tcBorders>
          </w:tcPr>
          <w:p w14:paraId="76961B2D">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会计原则的事例列举。</w:t>
            </w:r>
          </w:p>
        </w:tc>
      </w:tr>
      <w:tr w14:paraId="5D0415E0">
        <w:tblPrEx>
          <w:tblCellMar>
            <w:top w:w="0" w:type="dxa"/>
            <w:left w:w="108" w:type="dxa"/>
            <w:bottom w:w="0" w:type="dxa"/>
            <w:right w:w="108" w:type="dxa"/>
          </w:tblCellMar>
        </w:tblPrEx>
        <w:trPr>
          <w:trHeight w:val="449" w:hRule="atLeast"/>
        </w:trPr>
        <w:tc>
          <w:tcPr>
            <w:tcW w:w="1221" w:type="dxa"/>
            <w:tcBorders>
              <w:top w:val="single" w:color="auto" w:sz="6" w:space="0"/>
              <w:left w:val="single" w:color="auto" w:sz="6" w:space="0"/>
              <w:bottom w:val="single" w:color="auto" w:sz="6" w:space="0"/>
              <w:right w:val="single" w:color="auto" w:sz="6" w:space="0"/>
            </w:tcBorders>
            <w:vAlign w:val="center"/>
          </w:tcPr>
          <w:p w14:paraId="042C1B41">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考核建议</w:t>
            </w:r>
          </w:p>
        </w:tc>
        <w:tc>
          <w:tcPr>
            <w:tcW w:w="7599" w:type="dxa"/>
            <w:tcBorders>
              <w:top w:val="single" w:color="auto" w:sz="6" w:space="0"/>
              <w:left w:val="single" w:color="auto" w:sz="6" w:space="0"/>
              <w:bottom w:val="single" w:color="auto" w:sz="6" w:space="0"/>
              <w:right w:val="single" w:color="auto" w:sz="6" w:space="0"/>
            </w:tcBorders>
          </w:tcPr>
          <w:p w14:paraId="12E39191">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知识点测试。</w:t>
            </w:r>
          </w:p>
        </w:tc>
      </w:tr>
    </w:tbl>
    <w:p w14:paraId="5799ADB2">
      <w:pPr>
        <w:spacing w:line="580" w:lineRule="exact"/>
        <w:rPr>
          <w:rFonts w:asciiTheme="minorEastAsia" w:hAnsiTheme="minorEastAsia" w:cstheme="minorEastAsia"/>
          <w:sz w:val="18"/>
          <w:szCs w:val="18"/>
        </w:rPr>
      </w:pPr>
    </w:p>
    <w:p w14:paraId="74ED4AE4">
      <w:pPr>
        <w:spacing w:line="580" w:lineRule="exact"/>
        <w:rPr>
          <w:rFonts w:asciiTheme="minorEastAsia" w:hAnsiTheme="minorEastAsia" w:cstheme="minorEastAsia"/>
          <w:sz w:val="18"/>
          <w:szCs w:val="18"/>
        </w:rPr>
      </w:pPr>
    </w:p>
    <w:p w14:paraId="77721AD3">
      <w:pPr>
        <w:spacing w:line="580" w:lineRule="exact"/>
        <w:ind w:firstLine="640" w:firstLineChars="200"/>
        <w:rPr>
          <w:rFonts w:ascii="仿宋" w:hAnsi="仿宋" w:eastAsia="仿宋"/>
          <w:sz w:val="32"/>
          <w:szCs w:val="32"/>
        </w:rPr>
      </w:pPr>
      <w:r>
        <w:rPr>
          <w:rFonts w:hint="eastAsia" w:ascii="仿宋" w:hAnsi="仿宋" w:eastAsia="仿宋"/>
          <w:sz w:val="32"/>
          <w:szCs w:val="32"/>
        </w:rPr>
        <w:t xml:space="preserve">模块二：会计核算基础   </w:t>
      </w:r>
    </w:p>
    <w:p w14:paraId="59939270">
      <w:pPr>
        <w:spacing w:line="580" w:lineRule="exact"/>
        <w:ind w:firstLine="640" w:firstLineChars="200"/>
        <w:rPr>
          <w:rFonts w:ascii="仿宋" w:hAnsi="仿宋" w:eastAsia="仿宋"/>
          <w:sz w:val="32"/>
          <w:szCs w:val="32"/>
        </w:rPr>
      </w:pPr>
      <w:r>
        <w:rPr>
          <w:rFonts w:hint="eastAsia" w:ascii="仿宋" w:hAnsi="仿宋" w:eastAsia="仿宋"/>
          <w:sz w:val="32"/>
          <w:szCs w:val="32"/>
        </w:rPr>
        <w:t>1、会计要素与会计等式</w:t>
      </w:r>
    </w:p>
    <w:tbl>
      <w:tblPr>
        <w:tblStyle w:val="15"/>
        <w:tblW w:w="8820" w:type="dxa"/>
        <w:tblInd w:w="108" w:type="dxa"/>
        <w:tblLayout w:type="fixed"/>
        <w:tblCellMar>
          <w:top w:w="0" w:type="dxa"/>
          <w:left w:w="108" w:type="dxa"/>
          <w:bottom w:w="0" w:type="dxa"/>
          <w:right w:w="108" w:type="dxa"/>
        </w:tblCellMar>
      </w:tblPr>
      <w:tblGrid>
        <w:gridCol w:w="1350"/>
        <w:gridCol w:w="7470"/>
      </w:tblGrid>
      <w:tr w14:paraId="0146255D">
        <w:tblPrEx>
          <w:tblCellMar>
            <w:top w:w="0" w:type="dxa"/>
            <w:left w:w="108" w:type="dxa"/>
            <w:bottom w:w="0" w:type="dxa"/>
            <w:right w:w="108" w:type="dxa"/>
          </w:tblCellMar>
        </w:tblPrEx>
        <w:trPr>
          <w:trHeight w:val="385" w:hRule="atLeast"/>
        </w:trPr>
        <w:tc>
          <w:tcPr>
            <w:tcW w:w="1350" w:type="dxa"/>
            <w:tcBorders>
              <w:top w:val="single" w:color="auto" w:sz="6" w:space="0"/>
              <w:left w:val="single" w:color="auto" w:sz="6" w:space="0"/>
              <w:bottom w:val="single" w:color="auto" w:sz="6" w:space="0"/>
              <w:right w:val="single" w:color="auto" w:sz="6" w:space="0"/>
            </w:tcBorders>
            <w:vAlign w:val="center"/>
          </w:tcPr>
          <w:p w14:paraId="6780CE9A">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参考学时</w:t>
            </w:r>
          </w:p>
        </w:tc>
        <w:tc>
          <w:tcPr>
            <w:tcW w:w="7470" w:type="dxa"/>
            <w:tcBorders>
              <w:top w:val="single" w:color="auto" w:sz="6" w:space="0"/>
              <w:left w:val="single" w:color="auto" w:sz="6" w:space="0"/>
              <w:bottom w:val="single" w:color="auto" w:sz="6" w:space="0"/>
              <w:right w:val="single" w:color="auto" w:sz="6" w:space="0"/>
            </w:tcBorders>
          </w:tcPr>
          <w:p w14:paraId="55BC4C8E">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8</w:t>
            </w:r>
          </w:p>
        </w:tc>
      </w:tr>
      <w:tr w14:paraId="0F377DEF">
        <w:tblPrEx>
          <w:tblCellMar>
            <w:top w:w="0" w:type="dxa"/>
            <w:left w:w="108" w:type="dxa"/>
            <w:bottom w:w="0" w:type="dxa"/>
            <w:right w:w="108" w:type="dxa"/>
          </w:tblCellMar>
        </w:tblPrEx>
        <w:trPr>
          <w:trHeight w:val="892" w:hRule="atLeast"/>
        </w:trPr>
        <w:tc>
          <w:tcPr>
            <w:tcW w:w="1350" w:type="dxa"/>
            <w:tcBorders>
              <w:top w:val="single" w:color="auto" w:sz="6" w:space="0"/>
              <w:left w:val="single" w:color="auto" w:sz="6" w:space="0"/>
              <w:bottom w:val="single" w:color="auto" w:sz="6" w:space="0"/>
              <w:right w:val="single" w:color="auto" w:sz="6" w:space="0"/>
            </w:tcBorders>
            <w:vAlign w:val="center"/>
          </w:tcPr>
          <w:p w14:paraId="604793FF">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学习目标</w:t>
            </w:r>
          </w:p>
        </w:tc>
        <w:tc>
          <w:tcPr>
            <w:tcW w:w="7470" w:type="dxa"/>
            <w:tcBorders>
              <w:top w:val="single" w:color="auto" w:sz="6" w:space="0"/>
              <w:left w:val="single" w:color="auto" w:sz="6" w:space="0"/>
              <w:bottom w:val="single" w:color="auto" w:sz="6" w:space="0"/>
              <w:right w:val="single" w:color="auto" w:sz="6" w:space="0"/>
            </w:tcBorders>
          </w:tcPr>
          <w:p w14:paraId="41897CD9">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 xml:space="preserve">    能解释会计要素的概念、特征和分类，能说出会计要素的性质区别；能解释</w:t>
            </w:r>
          </w:p>
          <w:p w14:paraId="5A14A846">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会计等式的不同表现形式，能归纳会计事项引起资产和权益增减变化的四种类型。</w:t>
            </w:r>
          </w:p>
        </w:tc>
      </w:tr>
      <w:tr w14:paraId="18E8C04C">
        <w:tblPrEx>
          <w:tblCellMar>
            <w:top w:w="0" w:type="dxa"/>
            <w:left w:w="108" w:type="dxa"/>
            <w:bottom w:w="0" w:type="dxa"/>
            <w:right w:w="108" w:type="dxa"/>
          </w:tblCellMar>
        </w:tblPrEx>
        <w:trPr>
          <w:trHeight w:val="849" w:hRule="atLeast"/>
        </w:trPr>
        <w:tc>
          <w:tcPr>
            <w:tcW w:w="1350" w:type="dxa"/>
            <w:tcBorders>
              <w:top w:val="single" w:color="auto" w:sz="6" w:space="0"/>
              <w:left w:val="single" w:color="auto" w:sz="6" w:space="0"/>
              <w:bottom w:val="single" w:color="auto" w:sz="6" w:space="0"/>
              <w:right w:val="single" w:color="auto" w:sz="6" w:space="0"/>
            </w:tcBorders>
            <w:vAlign w:val="center"/>
          </w:tcPr>
          <w:p w14:paraId="57FDEFD3">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相关知识</w:t>
            </w:r>
          </w:p>
        </w:tc>
        <w:tc>
          <w:tcPr>
            <w:tcW w:w="7470" w:type="dxa"/>
            <w:tcBorders>
              <w:top w:val="single" w:color="auto" w:sz="6" w:space="0"/>
              <w:left w:val="single" w:color="auto" w:sz="6" w:space="0"/>
              <w:bottom w:val="single" w:color="auto" w:sz="6" w:space="0"/>
              <w:right w:val="single" w:color="auto" w:sz="6" w:space="0"/>
            </w:tcBorders>
          </w:tcPr>
          <w:p w14:paraId="23E5A682">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会计要素的概念、特征、分类；会计等式；会计事项；会计事项对会计等式的影响变化；会计等式的平衡性。</w:t>
            </w:r>
          </w:p>
        </w:tc>
      </w:tr>
      <w:tr w14:paraId="1F4A7713">
        <w:tblPrEx>
          <w:tblCellMar>
            <w:top w:w="0" w:type="dxa"/>
            <w:left w:w="108" w:type="dxa"/>
            <w:bottom w:w="0" w:type="dxa"/>
            <w:right w:w="108" w:type="dxa"/>
          </w:tblCellMar>
        </w:tblPrEx>
        <w:trPr>
          <w:trHeight w:val="564" w:hRule="atLeast"/>
        </w:trPr>
        <w:tc>
          <w:tcPr>
            <w:tcW w:w="1350" w:type="dxa"/>
            <w:tcBorders>
              <w:top w:val="single" w:color="auto" w:sz="6" w:space="0"/>
              <w:left w:val="single" w:color="auto" w:sz="6" w:space="0"/>
              <w:bottom w:val="single" w:color="auto" w:sz="6" w:space="0"/>
              <w:right w:val="single" w:color="auto" w:sz="6" w:space="0"/>
            </w:tcBorders>
            <w:vAlign w:val="center"/>
          </w:tcPr>
          <w:p w14:paraId="6A4C4D87">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相关实践</w:t>
            </w:r>
          </w:p>
        </w:tc>
        <w:tc>
          <w:tcPr>
            <w:tcW w:w="7470" w:type="dxa"/>
            <w:tcBorders>
              <w:top w:val="single" w:color="auto" w:sz="6" w:space="0"/>
              <w:left w:val="single" w:color="auto" w:sz="6" w:space="0"/>
              <w:bottom w:val="single" w:color="auto" w:sz="6" w:space="0"/>
              <w:right w:val="single" w:color="auto" w:sz="6" w:space="0"/>
            </w:tcBorders>
          </w:tcPr>
          <w:p w14:paraId="0CA6EE25">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会计要素在企业经济活动的现实对应列举案例。</w:t>
            </w:r>
          </w:p>
        </w:tc>
      </w:tr>
      <w:tr w14:paraId="1C5C02C6">
        <w:tblPrEx>
          <w:tblCellMar>
            <w:top w:w="0" w:type="dxa"/>
            <w:left w:w="108" w:type="dxa"/>
            <w:bottom w:w="0" w:type="dxa"/>
            <w:right w:w="108" w:type="dxa"/>
          </w:tblCellMar>
        </w:tblPrEx>
        <w:trPr>
          <w:trHeight w:val="564" w:hRule="atLeast"/>
        </w:trPr>
        <w:tc>
          <w:tcPr>
            <w:tcW w:w="1350" w:type="dxa"/>
            <w:tcBorders>
              <w:top w:val="single" w:color="auto" w:sz="6" w:space="0"/>
              <w:left w:val="single" w:color="auto" w:sz="6" w:space="0"/>
              <w:bottom w:val="single" w:color="auto" w:sz="6" w:space="0"/>
              <w:right w:val="single" w:color="auto" w:sz="6" w:space="0"/>
            </w:tcBorders>
            <w:vAlign w:val="center"/>
          </w:tcPr>
          <w:p w14:paraId="3B8EAD28">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扩展知识</w:t>
            </w:r>
          </w:p>
        </w:tc>
        <w:tc>
          <w:tcPr>
            <w:tcW w:w="7470" w:type="dxa"/>
            <w:tcBorders>
              <w:top w:val="single" w:color="auto" w:sz="6" w:space="0"/>
              <w:left w:val="single" w:color="auto" w:sz="6" w:space="0"/>
              <w:bottom w:val="single" w:color="auto" w:sz="6" w:space="0"/>
              <w:right w:val="single" w:color="auto" w:sz="6" w:space="0"/>
            </w:tcBorders>
          </w:tcPr>
          <w:p w14:paraId="0670F7F2">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会计要素中特定名词的进一步解释。</w:t>
            </w:r>
          </w:p>
        </w:tc>
      </w:tr>
      <w:tr w14:paraId="04293B80">
        <w:tblPrEx>
          <w:tblCellMar>
            <w:top w:w="0" w:type="dxa"/>
            <w:left w:w="108" w:type="dxa"/>
            <w:bottom w:w="0" w:type="dxa"/>
            <w:right w:w="108" w:type="dxa"/>
          </w:tblCellMar>
        </w:tblPrEx>
        <w:trPr>
          <w:trHeight w:val="239" w:hRule="atLeast"/>
        </w:trPr>
        <w:tc>
          <w:tcPr>
            <w:tcW w:w="1350" w:type="dxa"/>
            <w:tcBorders>
              <w:top w:val="single" w:color="auto" w:sz="6" w:space="0"/>
              <w:left w:val="single" w:color="auto" w:sz="6" w:space="0"/>
              <w:bottom w:val="single" w:color="auto" w:sz="6" w:space="0"/>
              <w:right w:val="single" w:color="auto" w:sz="6" w:space="0"/>
            </w:tcBorders>
            <w:vAlign w:val="center"/>
          </w:tcPr>
          <w:p w14:paraId="00AF0C49">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考核建议</w:t>
            </w:r>
          </w:p>
        </w:tc>
        <w:tc>
          <w:tcPr>
            <w:tcW w:w="7470" w:type="dxa"/>
            <w:tcBorders>
              <w:top w:val="single" w:color="auto" w:sz="6" w:space="0"/>
              <w:left w:val="single" w:color="auto" w:sz="6" w:space="0"/>
              <w:bottom w:val="single" w:color="auto" w:sz="6" w:space="0"/>
              <w:right w:val="single" w:color="auto" w:sz="6" w:space="0"/>
            </w:tcBorders>
          </w:tcPr>
          <w:p w14:paraId="5A870E35">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 xml:space="preserve">   知识把握测试。    </w:t>
            </w:r>
          </w:p>
        </w:tc>
      </w:tr>
    </w:tbl>
    <w:p w14:paraId="158B01F6">
      <w:pPr>
        <w:spacing w:line="580" w:lineRule="exact"/>
        <w:ind w:firstLine="640" w:firstLineChars="200"/>
        <w:rPr>
          <w:rFonts w:ascii="仿宋" w:hAnsi="仿宋" w:eastAsia="仿宋"/>
          <w:sz w:val="32"/>
          <w:szCs w:val="32"/>
        </w:rPr>
      </w:pPr>
      <w:r>
        <w:rPr>
          <w:rFonts w:hint="eastAsia" w:ascii="仿宋" w:hAnsi="仿宋" w:eastAsia="仿宋"/>
          <w:sz w:val="32"/>
          <w:szCs w:val="32"/>
        </w:rPr>
        <w:t>2、帐户与复式记账</w:t>
      </w:r>
    </w:p>
    <w:tbl>
      <w:tblPr>
        <w:tblStyle w:val="15"/>
        <w:tblW w:w="8820" w:type="dxa"/>
        <w:tblInd w:w="108" w:type="dxa"/>
        <w:tblLayout w:type="fixed"/>
        <w:tblCellMar>
          <w:top w:w="0" w:type="dxa"/>
          <w:left w:w="108" w:type="dxa"/>
          <w:bottom w:w="0" w:type="dxa"/>
          <w:right w:w="108" w:type="dxa"/>
        </w:tblCellMar>
      </w:tblPr>
      <w:tblGrid>
        <w:gridCol w:w="1434"/>
        <w:gridCol w:w="7386"/>
      </w:tblGrid>
      <w:tr w14:paraId="08C65DB9">
        <w:tblPrEx>
          <w:tblCellMar>
            <w:top w:w="0" w:type="dxa"/>
            <w:left w:w="108" w:type="dxa"/>
            <w:bottom w:w="0" w:type="dxa"/>
            <w:right w:w="108" w:type="dxa"/>
          </w:tblCellMar>
        </w:tblPrEx>
        <w:trPr>
          <w:trHeight w:val="495" w:hRule="atLeast"/>
        </w:trPr>
        <w:tc>
          <w:tcPr>
            <w:tcW w:w="1434" w:type="dxa"/>
            <w:tcBorders>
              <w:top w:val="single" w:color="auto" w:sz="6" w:space="0"/>
              <w:left w:val="single" w:color="auto" w:sz="6" w:space="0"/>
              <w:bottom w:val="single" w:color="auto" w:sz="6" w:space="0"/>
              <w:right w:val="single" w:color="auto" w:sz="6" w:space="0"/>
            </w:tcBorders>
            <w:vAlign w:val="center"/>
          </w:tcPr>
          <w:p w14:paraId="4DF0E49E">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参考学时</w:t>
            </w:r>
          </w:p>
        </w:tc>
        <w:tc>
          <w:tcPr>
            <w:tcW w:w="7386" w:type="dxa"/>
            <w:tcBorders>
              <w:top w:val="single" w:color="auto" w:sz="6" w:space="0"/>
              <w:left w:val="single" w:color="auto" w:sz="6" w:space="0"/>
              <w:bottom w:val="single" w:color="auto" w:sz="6" w:space="0"/>
              <w:right w:val="single" w:color="auto" w:sz="6" w:space="0"/>
            </w:tcBorders>
          </w:tcPr>
          <w:p w14:paraId="7EC15B20">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10</w:t>
            </w:r>
          </w:p>
        </w:tc>
      </w:tr>
      <w:tr w14:paraId="09951949">
        <w:tblPrEx>
          <w:tblCellMar>
            <w:top w:w="0" w:type="dxa"/>
            <w:left w:w="108" w:type="dxa"/>
            <w:bottom w:w="0" w:type="dxa"/>
            <w:right w:w="108" w:type="dxa"/>
          </w:tblCellMar>
        </w:tblPrEx>
        <w:trPr>
          <w:trHeight w:val="757" w:hRule="atLeast"/>
        </w:trPr>
        <w:tc>
          <w:tcPr>
            <w:tcW w:w="1434" w:type="dxa"/>
            <w:tcBorders>
              <w:top w:val="single" w:color="auto" w:sz="6" w:space="0"/>
              <w:left w:val="single" w:color="auto" w:sz="6" w:space="0"/>
              <w:bottom w:val="single" w:color="auto" w:sz="6" w:space="0"/>
              <w:right w:val="single" w:color="auto" w:sz="6" w:space="0"/>
            </w:tcBorders>
            <w:vAlign w:val="center"/>
          </w:tcPr>
          <w:p w14:paraId="2D762EFC">
            <w:pPr>
              <w:spacing w:line="580" w:lineRule="exact"/>
              <w:ind w:firstLine="360" w:firstLineChars="200"/>
              <w:rPr>
                <w:rFonts w:asciiTheme="minorEastAsia" w:hAnsiTheme="minorEastAsia" w:cstheme="minorEastAsia"/>
                <w:sz w:val="18"/>
                <w:szCs w:val="18"/>
              </w:rPr>
            </w:pPr>
          </w:p>
          <w:p w14:paraId="554DA14B">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学习目标</w:t>
            </w:r>
          </w:p>
        </w:tc>
        <w:tc>
          <w:tcPr>
            <w:tcW w:w="7386" w:type="dxa"/>
            <w:tcBorders>
              <w:top w:val="single" w:color="auto" w:sz="6" w:space="0"/>
              <w:left w:val="single" w:color="auto" w:sz="6" w:space="0"/>
              <w:bottom w:val="single" w:color="auto" w:sz="6" w:space="0"/>
              <w:right w:val="single" w:color="auto" w:sz="6" w:space="0"/>
            </w:tcBorders>
          </w:tcPr>
          <w:p w14:paraId="780E17B3">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 xml:space="preserve">   能解释会计科目、账户的概念、分类，能逐步运用会计科目和账户；能说出</w:t>
            </w:r>
          </w:p>
          <w:p w14:paraId="6F124151">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借贷记账法基本规律，能编制会计分录，学会平行登记和试算平衡。</w:t>
            </w:r>
          </w:p>
        </w:tc>
      </w:tr>
      <w:tr w14:paraId="19D8E6D9">
        <w:tblPrEx>
          <w:tblCellMar>
            <w:top w:w="0" w:type="dxa"/>
            <w:left w:w="108" w:type="dxa"/>
            <w:bottom w:w="0" w:type="dxa"/>
            <w:right w:w="108" w:type="dxa"/>
          </w:tblCellMar>
        </w:tblPrEx>
        <w:trPr>
          <w:trHeight w:val="1070" w:hRule="atLeast"/>
        </w:trPr>
        <w:tc>
          <w:tcPr>
            <w:tcW w:w="1434" w:type="dxa"/>
            <w:tcBorders>
              <w:top w:val="single" w:color="auto" w:sz="6" w:space="0"/>
              <w:left w:val="single" w:color="auto" w:sz="6" w:space="0"/>
              <w:bottom w:val="single" w:color="auto" w:sz="6" w:space="0"/>
              <w:right w:val="single" w:color="auto" w:sz="6" w:space="0"/>
            </w:tcBorders>
            <w:vAlign w:val="center"/>
          </w:tcPr>
          <w:p w14:paraId="1AB07126">
            <w:pPr>
              <w:spacing w:line="580" w:lineRule="exact"/>
              <w:ind w:firstLine="360" w:firstLineChars="200"/>
              <w:rPr>
                <w:rFonts w:asciiTheme="minorEastAsia" w:hAnsiTheme="minorEastAsia" w:cstheme="minorEastAsia"/>
                <w:sz w:val="18"/>
                <w:szCs w:val="18"/>
              </w:rPr>
            </w:pPr>
          </w:p>
          <w:p w14:paraId="2207298E">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相关知识</w:t>
            </w:r>
          </w:p>
          <w:p w14:paraId="107CA648">
            <w:pPr>
              <w:spacing w:line="580" w:lineRule="exact"/>
              <w:ind w:firstLine="360" w:firstLineChars="200"/>
              <w:rPr>
                <w:rFonts w:asciiTheme="minorEastAsia" w:hAnsiTheme="minorEastAsia" w:cstheme="minorEastAsia"/>
                <w:sz w:val="18"/>
                <w:szCs w:val="18"/>
              </w:rPr>
            </w:pPr>
          </w:p>
        </w:tc>
        <w:tc>
          <w:tcPr>
            <w:tcW w:w="7386" w:type="dxa"/>
            <w:tcBorders>
              <w:top w:val="single" w:color="auto" w:sz="6" w:space="0"/>
              <w:left w:val="single" w:color="auto" w:sz="6" w:space="0"/>
              <w:bottom w:val="single" w:color="auto" w:sz="6" w:space="0"/>
              <w:right w:val="single" w:color="auto" w:sz="6" w:space="0"/>
            </w:tcBorders>
          </w:tcPr>
          <w:p w14:paraId="1B7FA10B">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 xml:space="preserve">会计科目的意义、分类、设置原则；账户概念、意义、账户结构；复式记账的概念，特点，种类；借贷记账法的涵义、记账规律；会计分录；试算平衡；平行登记。  </w:t>
            </w:r>
          </w:p>
        </w:tc>
      </w:tr>
      <w:tr w14:paraId="7157202E">
        <w:tblPrEx>
          <w:tblCellMar>
            <w:top w:w="0" w:type="dxa"/>
            <w:left w:w="108" w:type="dxa"/>
            <w:bottom w:w="0" w:type="dxa"/>
            <w:right w:w="108" w:type="dxa"/>
          </w:tblCellMar>
        </w:tblPrEx>
        <w:trPr>
          <w:trHeight w:val="1222" w:hRule="atLeast"/>
        </w:trPr>
        <w:tc>
          <w:tcPr>
            <w:tcW w:w="1434" w:type="dxa"/>
            <w:tcBorders>
              <w:top w:val="single" w:color="auto" w:sz="6" w:space="0"/>
              <w:left w:val="single" w:color="auto" w:sz="6" w:space="0"/>
              <w:bottom w:val="single" w:color="auto" w:sz="6" w:space="0"/>
              <w:right w:val="single" w:color="auto" w:sz="6" w:space="0"/>
            </w:tcBorders>
            <w:vAlign w:val="center"/>
          </w:tcPr>
          <w:p w14:paraId="036D5C0B">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相关实践</w:t>
            </w:r>
          </w:p>
        </w:tc>
        <w:tc>
          <w:tcPr>
            <w:tcW w:w="7386" w:type="dxa"/>
            <w:tcBorders>
              <w:top w:val="single" w:color="auto" w:sz="6" w:space="0"/>
              <w:left w:val="single" w:color="auto" w:sz="6" w:space="0"/>
              <w:bottom w:val="single" w:color="auto" w:sz="6" w:space="0"/>
              <w:right w:val="single" w:color="auto" w:sz="6" w:space="0"/>
            </w:tcBorders>
          </w:tcPr>
          <w:p w14:paraId="776134D1">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 xml:space="preserve">    1、账户的熟记训练；2、账户的使用训练；借贷记账法的运用；3、会计分录的列示、会计分录的经济意义的理解能力训练；4、试算平衡表编制的训练；5、总分类账户与明细分类账户的开设与登记、试算平衡的方法训练。</w:t>
            </w:r>
          </w:p>
        </w:tc>
      </w:tr>
      <w:tr w14:paraId="055C46F7">
        <w:tblPrEx>
          <w:tblCellMar>
            <w:top w:w="0" w:type="dxa"/>
            <w:left w:w="108" w:type="dxa"/>
            <w:bottom w:w="0" w:type="dxa"/>
            <w:right w:w="108" w:type="dxa"/>
          </w:tblCellMar>
        </w:tblPrEx>
        <w:trPr>
          <w:trHeight w:val="474" w:hRule="atLeast"/>
        </w:trPr>
        <w:tc>
          <w:tcPr>
            <w:tcW w:w="1434" w:type="dxa"/>
            <w:tcBorders>
              <w:top w:val="single" w:color="auto" w:sz="6" w:space="0"/>
              <w:left w:val="single" w:color="auto" w:sz="6" w:space="0"/>
              <w:bottom w:val="single" w:color="auto" w:sz="6" w:space="0"/>
              <w:right w:val="single" w:color="auto" w:sz="6" w:space="0"/>
            </w:tcBorders>
            <w:vAlign w:val="center"/>
          </w:tcPr>
          <w:p w14:paraId="6960F781">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扩展知识</w:t>
            </w:r>
          </w:p>
        </w:tc>
        <w:tc>
          <w:tcPr>
            <w:tcW w:w="7386" w:type="dxa"/>
            <w:tcBorders>
              <w:top w:val="single" w:color="auto" w:sz="6" w:space="0"/>
              <w:left w:val="single" w:color="auto" w:sz="6" w:space="0"/>
              <w:bottom w:val="single" w:color="auto" w:sz="6" w:space="0"/>
              <w:right w:val="single" w:color="auto" w:sz="6" w:space="0"/>
            </w:tcBorders>
          </w:tcPr>
          <w:p w14:paraId="46DC47BB">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会计科目与账户的区别；会计记账方法的发展历史。</w:t>
            </w:r>
          </w:p>
        </w:tc>
      </w:tr>
      <w:tr w14:paraId="4E24FBE1">
        <w:tblPrEx>
          <w:tblCellMar>
            <w:top w:w="0" w:type="dxa"/>
            <w:left w:w="108" w:type="dxa"/>
            <w:bottom w:w="0" w:type="dxa"/>
            <w:right w:w="108" w:type="dxa"/>
          </w:tblCellMar>
        </w:tblPrEx>
        <w:trPr>
          <w:trHeight w:val="501" w:hRule="atLeast"/>
        </w:trPr>
        <w:tc>
          <w:tcPr>
            <w:tcW w:w="1434" w:type="dxa"/>
            <w:tcBorders>
              <w:top w:val="single" w:color="auto" w:sz="6" w:space="0"/>
              <w:left w:val="single" w:color="auto" w:sz="6" w:space="0"/>
              <w:bottom w:val="single" w:color="auto" w:sz="6" w:space="0"/>
              <w:right w:val="single" w:color="auto" w:sz="6" w:space="0"/>
            </w:tcBorders>
            <w:vAlign w:val="center"/>
          </w:tcPr>
          <w:p w14:paraId="535FE05E">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考核建议</w:t>
            </w:r>
          </w:p>
        </w:tc>
        <w:tc>
          <w:tcPr>
            <w:tcW w:w="7386" w:type="dxa"/>
            <w:tcBorders>
              <w:top w:val="single" w:color="auto" w:sz="6" w:space="0"/>
              <w:left w:val="single" w:color="auto" w:sz="6" w:space="0"/>
              <w:bottom w:val="single" w:color="auto" w:sz="6" w:space="0"/>
              <w:right w:val="single" w:color="auto" w:sz="6" w:space="0"/>
            </w:tcBorders>
          </w:tcPr>
          <w:p w14:paraId="7AE13338">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 xml:space="preserve">    知识点把握、知识点运用综合测试。</w:t>
            </w:r>
          </w:p>
        </w:tc>
      </w:tr>
    </w:tbl>
    <w:p w14:paraId="0E20178F">
      <w:pPr>
        <w:spacing w:line="580" w:lineRule="exact"/>
        <w:ind w:firstLine="640" w:firstLineChars="200"/>
        <w:rPr>
          <w:rFonts w:hint="eastAsia" w:ascii="仿宋" w:hAnsi="仿宋" w:eastAsia="仿宋"/>
          <w:sz w:val="32"/>
          <w:szCs w:val="32"/>
        </w:rPr>
      </w:pPr>
    </w:p>
    <w:p w14:paraId="6EC12CB5">
      <w:pPr>
        <w:spacing w:line="580" w:lineRule="exact"/>
        <w:ind w:firstLine="640" w:firstLineChars="200"/>
        <w:rPr>
          <w:rFonts w:ascii="仿宋" w:hAnsi="仿宋" w:eastAsia="仿宋"/>
          <w:sz w:val="32"/>
          <w:szCs w:val="32"/>
        </w:rPr>
      </w:pPr>
      <w:r>
        <w:rPr>
          <w:rFonts w:hint="eastAsia" w:ascii="仿宋" w:hAnsi="仿宋" w:eastAsia="仿宋"/>
          <w:sz w:val="32"/>
          <w:szCs w:val="32"/>
        </w:rPr>
        <w:t xml:space="preserve">模块三：会计基本业务核算实务    </w:t>
      </w:r>
    </w:p>
    <w:p w14:paraId="255A2BFA">
      <w:pPr>
        <w:spacing w:line="580" w:lineRule="exact"/>
        <w:ind w:firstLine="640" w:firstLineChars="200"/>
        <w:rPr>
          <w:rFonts w:ascii="仿宋" w:hAnsi="仿宋" w:eastAsia="仿宋"/>
          <w:sz w:val="32"/>
          <w:szCs w:val="32"/>
        </w:rPr>
      </w:pPr>
      <w:r>
        <w:rPr>
          <w:rFonts w:hint="eastAsia" w:ascii="仿宋" w:hAnsi="仿宋" w:eastAsia="仿宋"/>
          <w:sz w:val="32"/>
          <w:szCs w:val="32"/>
        </w:rPr>
        <w:t xml:space="preserve"> 1、经济业务与原始凭证</w:t>
      </w:r>
    </w:p>
    <w:tbl>
      <w:tblPr>
        <w:tblStyle w:val="15"/>
        <w:tblW w:w="9000" w:type="dxa"/>
        <w:tblInd w:w="108" w:type="dxa"/>
        <w:tblLayout w:type="fixed"/>
        <w:tblCellMar>
          <w:top w:w="0" w:type="dxa"/>
          <w:left w:w="108" w:type="dxa"/>
          <w:bottom w:w="0" w:type="dxa"/>
          <w:right w:w="108" w:type="dxa"/>
        </w:tblCellMar>
      </w:tblPr>
      <w:tblGrid>
        <w:gridCol w:w="1198"/>
        <w:gridCol w:w="7802"/>
      </w:tblGrid>
      <w:tr w14:paraId="32A6552D">
        <w:tblPrEx>
          <w:tblCellMar>
            <w:top w:w="0" w:type="dxa"/>
            <w:left w:w="108" w:type="dxa"/>
            <w:bottom w:w="0" w:type="dxa"/>
            <w:right w:w="108" w:type="dxa"/>
          </w:tblCellMar>
        </w:tblPrEx>
        <w:trPr>
          <w:trHeight w:val="397" w:hRule="atLeast"/>
        </w:trPr>
        <w:tc>
          <w:tcPr>
            <w:tcW w:w="1198" w:type="dxa"/>
            <w:tcBorders>
              <w:top w:val="single" w:color="auto" w:sz="6" w:space="0"/>
              <w:left w:val="single" w:color="auto" w:sz="6" w:space="0"/>
              <w:bottom w:val="single" w:color="auto" w:sz="6" w:space="0"/>
              <w:right w:val="single" w:color="auto" w:sz="6" w:space="0"/>
            </w:tcBorders>
            <w:vAlign w:val="center"/>
          </w:tcPr>
          <w:p w14:paraId="797F508F">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参考学时</w:t>
            </w:r>
          </w:p>
        </w:tc>
        <w:tc>
          <w:tcPr>
            <w:tcW w:w="7802" w:type="dxa"/>
            <w:tcBorders>
              <w:top w:val="single" w:color="auto" w:sz="6" w:space="0"/>
              <w:left w:val="single" w:color="auto" w:sz="6" w:space="0"/>
              <w:bottom w:val="single" w:color="auto" w:sz="6" w:space="0"/>
              <w:right w:val="single" w:color="auto" w:sz="6" w:space="0"/>
            </w:tcBorders>
          </w:tcPr>
          <w:p w14:paraId="62B4ED08">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4+2</w:t>
            </w:r>
          </w:p>
        </w:tc>
      </w:tr>
      <w:tr w14:paraId="4BF1E028">
        <w:tblPrEx>
          <w:tblCellMar>
            <w:top w:w="0" w:type="dxa"/>
            <w:left w:w="108" w:type="dxa"/>
            <w:bottom w:w="0" w:type="dxa"/>
            <w:right w:w="108" w:type="dxa"/>
          </w:tblCellMar>
        </w:tblPrEx>
        <w:trPr>
          <w:trHeight w:val="1759" w:hRule="atLeast"/>
        </w:trPr>
        <w:tc>
          <w:tcPr>
            <w:tcW w:w="1198" w:type="dxa"/>
            <w:tcBorders>
              <w:top w:val="single" w:color="auto" w:sz="6" w:space="0"/>
              <w:left w:val="single" w:color="auto" w:sz="6" w:space="0"/>
              <w:bottom w:val="single" w:color="auto" w:sz="6" w:space="0"/>
              <w:right w:val="single" w:color="auto" w:sz="6" w:space="0"/>
            </w:tcBorders>
            <w:vAlign w:val="center"/>
          </w:tcPr>
          <w:p w14:paraId="40D043FB">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学习目标</w:t>
            </w:r>
          </w:p>
        </w:tc>
        <w:tc>
          <w:tcPr>
            <w:tcW w:w="7802" w:type="dxa"/>
            <w:tcBorders>
              <w:top w:val="single" w:color="auto" w:sz="6" w:space="0"/>
              <w:left w:val="single" w:color="auto" w:sz="6" w:space="0"/>
              <w:bottom w:val="single" w:color="auto" w:sz="6" w:space="0"/>
              <w:right w:val="single" w:color="auto" w:sz="6" w:space="0"/>
            </w:tcBorders>
          </w:tcPr>
          <w:p w14:paraId="3E8D0D23">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 xml:space="preserve">    以制造业的基本经济业务为基础，能运用基本经济业务活动，能从会计角度把握体现经济业务的原始凭证，具有能判断对应经济业务所形成的。</w:t>
            </w:r>
          </w:p>
          <w:p w14:paraId="6C0C9663">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 xml:space="preserve">会计原始凭证；  </w:t>
            </w:r>
          </w:p>
          <w:p w14:paraId="27000BD8">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 xml:space="preserve">   能说出原始凭证的概念和种类，能审核原始凭证，具有判断原始凭证代表经济业务性质的基本能力；</w:t>
            </w:r>
          </w:p>
        </w:tc>
      </w:tr>
      <w:tr w14:paraId="1020EC6F">
        <w:tblPrEx>
          <w:tblCellMar>
            <w:top w:w="0" w:type="dxa"/>
            <w:left w:w="108" w:type="dxa"/>
            <w:bottom w:w="0" w:type="dxa"/>
            <w:right w:w="108" w:type="dxa"/>
          </w:tblCellMar>
        </w:tblPrEx>
        <w:trPr>
          <w:trHeight w:val="448" w:hRule="atLeast"/>
        </w:trPr>
        <w:tc>
          <w:tcPr>
            <w:tcW w:w="1198" w:type="dxa"/>
            <w:tcBorders>
              <w:top w:val="single" w:color="auto" w:sz="6" w:space="0"/>
              <w:left w:val="single" w:color="auto" w:sz="6" w:space="0"/>
              <w:bottom w:val="single" w:color="auto" w:sz="6" w:space="0"/>
              <w:right w:val="single" w:color="auto" w:sz="6" w:space="0"/>
            </w:tcBorders>
            <w:vAlign w:val="center"/>
          </w:tcPr>
          <w:p w14:paraId="6FCF04E7">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相关知识</w:t>
            </w:r>
          </w:p>
        </w:tc>
        <w:tc>
          <w:tcPr>
            <w:tcW w:w="7802" w:type="dxa"/>
            <w:tcBorders>
              <w:top w:val="single" w:color="auto" w:sz="6" w:space="0"/>
              <w:left w:val="single" w:color="auto" w:sz="6" w:space="0"/>
              <w:bottom w:val="single" w:color="auto" w:sz="6" w:space="0"/>
              <w:right w:val="single" w:color="auto" w:sz="6" w:space="0"/>
            </w:tcBorders>
          </w:tcPr>
          <w:p w14:paraId="10DAAF55">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企业经济活动过程；原始凭证的种类、作用；经济业务与原始凭证的对应关系。</w:t>
            </w:r>
          </w:p>
        </w:tc>
      </w:tr>
      <w:tr w14:paraId="04BD9041">
        <w:tblPrEx>
          <w:tblCellMar>
            <w:top w:w="0" w:type="dxa"/>
            <w:left w:w="108" w:type="dxa"/>
            <w:bottom w:w="0" w:type="dxa"/>
            <w:right w:w="108" w:type="dxa"/>
          </w:tblCellMar>
        </w:tblPrEx>
        <w:trPr>
          <w:trHeight w:val="777" w:hRule="atLeast"/>
        </w:trPr>
        <w:tc>
          <w:tcPr>
            <w:tcW w:w="1198" w:type="dxa"/>
            <w:tcBorders>
              <w:top w:val="single" w:color="auto" w:sz="6" w:space="0"/>
              <w:left w:val="single" w:color="auto" w:sz="6" w:space="0"/>
              <w:bottom w:val="single" w:color="auto" w:sz="6" w:space="0"/>
              <w:right w:val="single" w:color="auto" w:sz="6" w:space="0"/>
            </w:tcBorders>
            <w:vAlign w:val="center"/>
          </w:tcPr>
          <w:p w14:paraId="4F12AAE0">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相关实践</w:t>
            </w:r>
          </w:p>
        </w:tc>
        <w:tc>
          <w:tcPr>
            <w:tcW w:w="7802" w:type="dxa"/>
            <w:tcBorders>
              <w:top w:val="single" w:color="auto" w:sz="6" w:space="0"/>
              <w:left w:val="single" w:color="auto" w:sz="6" w:space="0"/>
              <w:bottom w:val="single" w:color="auto" w:sz="6" w:space="0"/>
              <w:right w:val="single" w:color="auto" w:sz="6" w:space="0"/>
            </w:tcBorders>
          </w:tcPr>
          <w:p w14:paraId="2D9D3FB9">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 xml:space="preserve">   1、  经济业务与原始凭证对应训练；</w:t>
            </w:r>
          </w:p>
          <w:p w14:paraId="7A6264DA">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 xml:space="preserve">   2、  参观企业经济运行状怒现场、会计实践现场及实物。</w:t>
            </w:r>
          </w:p>
        </w:tc>
      </w:tr>
      <w:tr w14:paraId="37D72790">
        <w:tblPrEx>
          <w:tblCellMar>
            <w:top w:w="0" w:type="dxa"/>
            <w:left w:w="108" w:type="dxa"/>
            <w:bottom w:w="0" w:type="dxa"/>
            <w:right w:w="108" w:type="dxa"/>
          </w:tblCellMar>
        </w:tblPrEx>
        <w:trPr>
          <w:trHeight w:val="408" w:hRule="atLeast"/>
        </w:trPr>
        <w:tc>
          <w:tcPr>
            <w:tcW w:w="1198" w:type="dxa"/>
            <w:tcBorders>
              <w:top w:val="single" w:color="auto" w:sz="6" w:space="0"/>
              <w:left w:val="single" w:color="auto" w:sz="6" w:space="0"/>
              <w:bottom w:val="single" w:color="auto" w:sz="6" w:space="0"/>
              <w:right w:val="single" w:color="auto" w:sz="6" w:space="0"/>
            </w:tcBorders>
            <w:vAlign w:val="center"/>
          </w:tcPr>
          <w:p w14:paraId="31DDEE66">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扩展知识</w:t>
            </w:r>
          </w:p>
        </w:tc>
        <w:tc>
          <w:tcPr>
            <w:tcW w:w="7802" w:type="dxa"/>
            <w:tcBorders>
              <w:top w:val="single" w:color="auto" w:sz="6" w:space="0"/>
              <w:left w:val="single" w:color="auto" w:sz="6" w:space="0"/>
              <w:bottom w:val="single" w:color="auto" w:sz="6" w:space="0"/>
              <w:right w:val="single" w:color="auto" w:sz="6" w:space="0"/>
            </w:tcBorders>
          </w:tcPr>
          <w:p w14:paraId="3541FA56">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 xml:space="preserve">  我国会计基本工作规范相关内容 。 </w:t>
            </w:r>
          </w:p>
        </w:tc>
      </w:tr>
      <w:tr w14:paraId="68BB43F1">
        <w:tblPrEx>
          <w:tblCellMar>
            <w:top w:w="0" w:type="dxa"/>
            <w:left w:w="108" w:type="dxa"/>
            <w:bottom w:w="0" w:type="dxa"/>
            <w:right w:w="108" w:type="dxa"/>
          </w:tblCellMar>
        </w:tblPrEx>
        <w:trPr>
          <w:trHeight w:val="397" w:hRule="atLeast"/>
        </w:trPr>
        <w:tc>
          <w:tcPr>
            <w:tcW w:w="1198" w:type="dxa"/>
            <w:tcBorders>
              <w:top w:val="single" w:color="auto" w:sz="6" w:space="0"/>
              <w:left w:val="single" w:color="auto" w:sz="6" w:space="0"/>
              <w:bottom w:val="single" w:color="auto" w:sz="6" w:space="0"/>
              <w:right w:val="single" w:color="auto" w:sz="6" w:space="0"/>
            </w:tcBorders>
            <w:vAlign w:val="center"/>
          </w:tcPr>
          <w:p w14:paraId="13AD5878">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考核建议</w:t>
            </w:r>
          </w:p>
        </w:tc>
        <w:tc>
          <w:tcPr>
            <w:tcW w:w="7802" w:type="dxa"/>
            <w:tcBorders>
              <w:top w:val="single" w:color="auto" w:sz="6" w:space="0"/>
              <w:left w:val="single" w:color="auto" w:sz="6" w:space="0"/>
              <w:bottom w:val="single" w:color="auto" w:sz="6" w:space="0"/>
              <w:right w:val="single" w:color="auto" w:sz="6" w:space="0"/>
            </w:tcBorders>
          </w:tcPr>
          <w:p w14:paraId="1D3E7D4D">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 xml:space="preserve">  知识点把握、原始凭证填制、审核技能综合测试。</w:t>
            </w:r>
          </w:p>
        </w:tc>
      </w:tr>
    </w:tbl>
    <w:p w14:paraId="3763ED06">
      <w:pPr>
        <w:spacing w:line="580" w:lineRule="exact"/>
        <w:ind w:firstLine="560" w:firstLineChars="200"/>
        <w:rPr>
          <w:rFonts w:ascii="仿宋" w:hAnsi="仿宋" w:eastAsia="仿宋"/>
          <w:sz w:val="28"/>
          <w:szCs w:val="28"/>
        </w:rPr>
      </w:pPr>
    </w:p>
    <w:p w14:paraId="28EBF23F">
      <w:pPr>
        <w:spacing w:line="580" w:lineRule="exact"/>
        <w:ind w:firstLine="640" w:firstLineChars="200"/>
        <w:rPr>
          <w:rFonts w:ascii="仿宋" w:hAnsi="仿宋" w:eastAsia="仿宋"/>
          <w:sz w:val="32"/>
          <w:szCs w:val="32"/>
        </w:rPr>
      </w:pPr>
      <w:r>
        <w:rPr>
          <w:rFonts w:hint="eastAsia" w:ascii="仿宋" w:hAnsi="仿宋" w:eastAsia="仿宋"/>
          <w:sz w:val="32"/>
          <w:szCs w:val="32"/>
        </w:rPr>
        <w:t>2、企业基本业务的核算</w:t>
      </w:r>
    </w:p>
    <w:tbl>
      <w:tblPr>
        <w:tblStyle w:val="15"/>
        <w:tblW w:w="9000" w:type="dxa"/>
        <w:tblInd w:w="108" w:type="dxa"/>
        <w:tblLayout w:type="fixed"/>
        <w:tblCellMar>
          <w:top w:w="0" w:type="dxa"/>
          <w:left w:w="108" w:type="dxa"/>
          <w:bottom w:w="0" w:type="dxa"/>
          <w:right w:w="108" w:type="dxa"/>
        </w:tblCellMar>
      </w:tblPr>
      <w:tblGrid>
        <w:gridCol w:w="1203"/>
        <w:gridCol w:w="7797"/>
      </w:tblGrid>
      <w:tr w14:paraId="194A53EC">
        <w:tblPrEx>
          <w:tblCellMar>
            <w:top w:w="0" w:type="dxa"/>
            <w:left w:w="108" w:type="dxa"/>
            <w:bottom w:w="0" w:type="dxa"/>
            <w:right w:w="108" w:type="dxa"/>
          </w:tblCellMar>
        </w:tblPrEx>
        <w:trPr>
          <w:trHeight w:val="449" w:hRule="atLeast"/>
        </w:trPr>
        <w:tc>
          <w:tcPr>
            <w:tcW w:w="1203" w:type="dxa"/>
            <w:tcBorders>
              <w:top w:val="single" w:color="auto" w:sz="6" w:space="0"/>
              <w:left w:val="single" w:color="auto" w:sz="6" w:space="0"/>
              <w:bottom w:val="single" w:color="auto" w:sz="6" w:space="0"/>
              <w:right w:val="single" w:color="auto" w:sz="6" w:space="0"/>
            </w:tcBorders>
            <w:vAlign w:val="center"/>
          </w:tcPr>
          <w:p w14:paraId="5D37B08E">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参考学时</w:t>
            </w:r>
          </w:p>
        </w:tc>
        <w:tc>
          <w:tcPr>
            <w:tcW w:w="7797" w:type="dxa"/>
            <w:tcBorders>
              <w:top w:val="single" w:color="auto" w:sz="6" w:space="0"/>
              <w:left w:val="single" w:color="auto" w:sz="6" w:space="0"/>
              <w:bottom w:val="single" w:color="auto" w:sz="6" w:space="0"/>
              <w:right w:val="single" w:color="auto" w:sz="6" w:space="0"/>
            </w:tcBorders>
          </w:tcPr>
          <w:p w14:paraId="2F5D425B">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16</w:t>
            </w:r>
          </w:p>
        </w:tc>
      </w:tr>
      <w:tr w14:paraId="513A5F1D">
        <w:tblPrEx>
          <w:tblCellMar>
            <w:top w:w="0" w:type="dxa"/>
            <w:left w:w="108" w:type="dxa"/>
            <w:bottom w:w="0" w:type="dxa"/>
            <w:right w:w="108" w:type="dxa"/>
          </w:tblCellMar>
        </w:tblPrEx>
        <w:trPr>
          <w:trHeight w:val="915" w:hRule="atLeast"/>
        </w:trPr>
        <w:tc>
          <w:tcPr>
            <w:tcW w:w="1203" w:type="dxa"/>
            <w:tcBorders>
              <w:top w:val="single" w:color="auto" w:sz="6" w:space="0"/>
              <w:left w:val="single" w:color="auto" w:sz="6" w:space="0"/>
              <w:bottom w:val="single" w:color="auto" w:sz="6" w:space="0"/>
              <w:right w:val="single" w:color="auto" w:sz="6" w:space="0"/>
            </w:tcBorders>
            <w:vAlign w:val="center"/>
          </w:tcPr>
          <w:p w14:paraId="303C24FB">
            <w:pPr>
              <w:spacing w:line="580" w:lineRule="exact"/>
              <w:rPr>
                <w:rFonts w:asciiTheme="minorEastAsia" w:hAnsiTheme="minorEastAsia" w:cstheme="minorEastAsia"/>
                <w:sz w:val="18"/>
                <w:szCs w:val="18"/>
              </w:rPr>
            </w:pPr>
          </w:p>
          <w:p w14:paraId="08A96D3E">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学习目标</w:t>
            </w:r>
          </w:p>
        </w:tc>
        <w:tc>
          <w:tcPr>
            <w:tcW w:w="7797" w:type="dxa"/>
            <w:tcBorders>
              <w:top w:val="single" w:color="auto" w:sz="6" w:space="0"/>
              <w:left w:val="single" w:color="auto" w:sz="6" w:space="0"/>
              <w:bottom w:val="single" w:color="auto" w:sz="6" w:space="0"/>
              <w:right w:val="single" w:color="auto" w:sz="6" w:space="0"/>
            </w:tcBorders>
          </w:tcPr>
          <w:p w14:paraId="485C4D03">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 xml:space="preserve">    以制造业的基本经济业务为例，能运用基本经济业务活动及其原始凭证，准确确定使用的账户，能编制会计分录。</w:t>
            </w:r>
          </w:p>
        </w:tc>
      </w:tr>
      <w:tr w14:paraId="7D393210">
        <w:tblPrEx>
          <w:tblCellMar>
            <w:top w:w="0" w:type="dxa"/>
            <w:left w:w="108" w:type="dxa"/>
            <w:bottom w:w="0" w:type="dxa"/>
            <w:right w:w="108" w:type="dxa"/>
          </w:tblCellMar>
        </w:tblPrEx>
        <w:trPr>
          <w:trHeight w:val="942" w:hRule="atLeast"/>
        </w:trPr>
        <w:tc>
          <w:tcPr>
            <w:tcW w:w="1203" w:type="dxa"/>
            <w:tcBorders>
              <w:top w:val="single" w:color="auto" w:sz="6" w:space="0"/>
              <w:left w:val="single" w:color="auto" w:sz="6" w:space="0"/>
              <w:bottom w:val="single" w:color="auto" w:sz="6" w:space="0"/>
              <w:right w:val="single" w:color="auto" w:sz="6" w:space="0"/>
            </w:tcBorders>
            <w:vAlign w:val="center"/>
          </w:tcPr>
          <w:p w14:paraId="21D9F16D">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相关知识</w:t>
            </w:r>
          </w:p>
        </w:tc>
        <w:tc>
          <w:tcPr>
            <w:tcW w:w="7797" w:type="dxa"/>
            <w:tcBorders>
              <w:top w:val="single" w:color="auto" w:sz="6" w:space="0"/>
              <w:left w:val="single" w:color="auto" w:sz="6" w:space="0"/>
              <w:bottom w:val="single" w:color="auto" w:sz="6" w:space="0"/>
              <w:right w:val="single" w:color="auto" w:sz="6" w:space="0"/>
            </w:tcBorders>
          </w:tcPr>
          <w:p w14:paraId="433F4CC4">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资金进入企业的基本业务的核算；供应过程业务核算；生产过程的核算；销售过程的核算；经营成果的核算、其他经济业务的核算。</w:t>
            </w:r>
          </w:p>
        </w:tc>
      </w:tr>
      <w:tr w14:paraId="2D9FF05F">
        <w:tblPrEx>
          <w:tblCellMar>
            <w:top w:w="0" w:type="dxa"/>
            <w:left w:w="108" w:type="dxa"/>
            <w:bottom w:w="0" w:type="dxa"/>
            <w:right w:w="108" w:type="dxa"/>
          </w:tblCellMar>
        </w:tblPrEx>
        <w:trPr>
          <w:trHeight w:val="864" w:hRule="atLeast"/>
        </w:trPr>
        <w:tc>
          <w:tcPr>
            <w:tcW w:w="1203" w:type="dxa"/>
            <w:tcBorders>
              <w:top w:val="single" w:color="auto" w:sz="6" w:space="0"/>
              <w:left w:val="single" w:color="auto" w:sz="6" w:space="0"/>
              <w:bottom w:val="single" w:color="auto" w:sz="6" w:space="0"/>
              <w:right w:val="single" w:color="auto" w:sz="6" w:space="0"/>
            </w:tcBorders>
            <w:vAlign w:val="center"/>
          </w:tcPr>
          <w:p w14:paraId="0E68369A">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相关实践</w:t>
            </w:r>
          </w:p>
        </w:tc>
        <w:tc>
          <w:tcPr>
            <w:tcW w:w="7797" w:type="dxa"/>
            <w:tcBorders>
              <w:top w:val="single" w:color="auto" w:sz="6" w:space="0"/>
              <w:left w:val="single" w:color="auto" w:sz="6" w:space="0"/>
              <w:bottom w:val="single" w:color="auto" w:sz="6" w:space="0"/>
              <w:right w:val="single" w:color="auto" w:sz="6" w:space="0"/>
            </w:tcBorders>
          </w:tcPr>
          <w:p w14:paraId="7082CEBB">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 xml:space="preserve">   基本经济业务核算的账户设置和会计分录妁编制；</w:t>
            </w:r>
          </w:p>
          <w:p w14:paraId="36A2F924">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 xml:space="preserve">   经济业务案例核算训练。  </w:t>
            </w:r>
          </w:p>
        </w:tc>
      </w:tr>
      <w:tr w14:paraId="2C815E66">
        <w:tblPrEx>
          <w:tblCellMar>
            <w:top w:w="0" w:type="dxa"/>
            <w:left w:w="108" w:type="dxa"/>
            <w:bottom w:w="0" w:type="dxa"/>
            <w:right w:w="108" w:type="dxa"/>
          </w:tblCellMar>
        </w:tblPrEx>
        <w:trPr>
          <w:trHeight w:val="514" w:hRule="atLeast"/>
        </w:trPr>
        <w:tc>
          <w:tcPr>
            <w:tcW w:w="1203" w:type="dxa"/>
            <w:tcBorders>
              <w:top w:val="single" w:color="auto" w:sz="6" w:space="0"/>
              <w:left w:val="single" w:color="auto" w:sz="6" w:space="0"/>
              <w:bottom w:val="single" w:color="auto" w:sz="6" w:space="0"/>
              <w:right w:val="single" w:color="auto" w:sz="6" w:space="0"/>
            </w:tcBorders>
            <w:vAlign w:val="center"/>
          </w:tcPr>
          <w:p w14:paraId="778B57BB">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扩展知识</w:t>
            </w:r>
          </w:p>
        </w:tc>
        <w:tc>
          <w:tcPr>
            <w:tcW w:w="7797" w:type="dxa"/>
            <w:tcBorders>
              <w:top w:val="single" w:color="auto" w:sz="6" w:space="0"/>
              <w:left w:val="single" w:color="auto" w:sz="6" w:space="0"/>
              <w:bottom w:val="single" w:color="auto" w:sz="6" w:space="0"/>
              <w:right w:val="single" w:color="auto" w:sz="6" w:space="0"/>
            </w:tcBorders>
          </w:tcPr>
          <w:p w14:paraId="41DABD03">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基本经济业务对应的原始凭证。</w:t>
            </w:r>
          </w:p>
        </w:tc>
      </w:tr>
      <w:tr w14:paraId="05D78C25">
        <w:tblPrEx>
          <w:tblCellMar>
            <w:top w:w="0" w:type="dxa"/>
            <w:left w:w="108" w:type="dxa"/>
            <w:bottom w:w="0" w:type="dxa"/>
            <w:right w:w="108" w:type="dxa"/>
          </w:tblCellMar>
        </w:tblPrEx>
        <w:trPr>
          <w:trHeight w:val="346" w:hRule="atLeast"/>
        </w:trPr>
        <w:tc>
          <w:tcPr>
            <w:tcW w:w="1203" w:type="dxa"/>
            <w:tcBorders>
              <w:top w:val="single" w:color="auto" w:sz="6" w:space="0"/>
              <w:left w:val="single" w:color="auto" w:sz="6" w:space="0"/>
              <w:bottom w:val="single" w:color="auto" w:sz="6" w:space="0"/>
              <w:right w:val="single" w:color="auto" w:sz="6" w:space="0"/>
            </w:tcBorders>
            <w:vAlign w:val="center"/>
          </w:tcPr>
          <w:p w14:paraId="57C18F2E">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考枝建议</w:t>
            </w:r>
          </w:p>
        </w:tc>
        <w:tc>
          <w:tcPr>
            <w:tcW w:w="7797" w:type="dxa"/>
            <w:tcBorders>
              <w:top w:val="single" w:color="auto" w:sz="6" w:space="0"/>
              <w:left w:val="single" w:color="auto" w:sz="6" w:space="0"/>
              <w:bottom w:val="single" w:color="auto" w:sz="6" w:space="0"/>
              <w:right w:val="single" w:color="auto" w:sz="6" w:space="0"/>
            </w:tcBorders>
          </w:tcPr>
          <w:p w14:paraId="2C9DB869">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 xml:space="preserve">   经济业务案例综合测试。</w:t>
            </w:r>
          </w:p>
        </w:tc>
      </w:tr>
    </w:tbl>
    <w:p w14:paraId="516C957E">
      <w:pPr>
        <w:spacing w:line="580" w:lineRule="exact"/>
        <w:ind w:firstLine="640" w:firstLineChars="200"/>
        <w:rPr>
          <w:rFonts w:ascii="仿宋" w:hAnsi="仿宋" w:eastAsia="仿宋"/>
          <w:sz w:val="32"/>
          <w:szCs w:val="32"/>
        </w:rPr>
      </w:pPr>
      <w:r>
        <w:rPr>
          <w:rFonts w:hint="eastAsia" w:ascii="仿宋" w:hAnsi="仿宋" w:eastAsia="仿宋"/>
          <w:sz w:val="32"/>
          <w:szCs w:val="32"/>
        </w:rPr>
        <w:t>3、记账凭证</w:t>
      </w:r>
    </w:p>
    <w:tbl>
      <w:tblPr>
        <w:tblStyle w:val="15"/>
        <w:tblW w:w="9000" w:type="dxa"/>
        <w:tblInd w:w="108" w:type="dxa"/>
        <w:tblLayout w:type="fixed"/>
        <w:tblCellMar>
          <w:top w:w="0" w:type="dxa"/>
          <w:left w:w="108" w:type="dxa"/>
          <w:bottom w:w="0" w:type="dxa"/>
          <w:right w:w="108" w:type="dxa"/>
        </w:tblCellMar>
      </w:tblPr>
      <w:tblGrid>
        <w:gridCol w:w="1152"/>
        <w:gridCol w:w="7848"/>
      </w:tblGrid>
      <w:tr w14:paraId="5B035F63">
        <w:tblPrEx>
          <w:tblCellMar>
            <w:top w:w="0" w:type="dxa"/>
            <w:left w:w="108" w:type="dxa"/>
            <w:bottom w:w="0" w:type="dxa"/>
            <w:right w:w="108" w:type="dxa"/>
          </w:tblCellMar>
        </w:tblPrEx>
        <w:trPr>
          <w:trHeight w:val="466" w:hRule="atLeast"/>
        </w:trPr>
        <w:tc>
          <w:tcPr>
            <w:tcW w:w="1152" w:type="dxa"/>
            <w:tcBorders>
              <w:top w:val="single" w:color="auto" w:sz="6" w:space="0"/>
              <w:left w:val="single" w:color="auto" w:sz="6" w:space="0"/>
              <w:bottom w:val="single" w:color="auto" w:sz="6" w:space="0"/>
              <w:right w:val="single" w:color="auto" w:sz="6" w:space="0"/>
            </w:tcBorders>
            <w:vAlign w:val="center"/>
          </w:tcPr>
          <w:p w14:paraId="66B76AEF">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参考学时</w:t>
            </w:r>
          </w:p>
        </w:tc>
        <w:tc>
          <w:tcPr>
            <w:tcW w:w="7848" w:type="dxa"/>
            <w:tcBorders>
              <w:top w:val="single" w:color="auto" w:sz="6" w:space="0"/>
              <w:left w:val="single" w:color="auto" w:sz="6" w:space="0"/>
              <w:bottom w:val="single" w:color="auto" w:sz="6" w:space="0"/>
              <w:right w:val="single" w:color="auto" w:sz="6" w:space="0"/>
            </w:tcBorders>
          </w:tcPr>
          <w:p w14:paraId="37A0A666">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8</w:t>
            </w:r>
          </w:p>
        </w:tc>
      </w:tr>
      <w:tr w14:paraId="23249991">
        <w:tblPrEx>
          <w:tblCellMar>
            <w:top w:w="0" w:type="dxa"/>
            <w:left w:w="108" w:type="dxa"/>
            <w:bottom w:w="0" w:type="dxa"/>
            <w:right w:w="108" w:type="dxa"/>
          </w:tblCellMar>
        </w:tblPrEx>
        <w:trPr>
          <w:trHeight w:val="938" w:hRule="atLeast"/>
        </w:trPr>
        <w:tc>
          <w:tcPr>
            <w:tcW w:w="1152" w:type="dxa"/>
            <w:tcBorders>
              <w:top w:val="single" w:color="auto" w:sz="6" w:space="0"/>
              <w:left w:val="single" w:color="auto" w:sz="6" w:space="0"/>
              <w:bottom w:val="single" w:color="auto" w:sz="6" w:space="0"/>
              <w:right w:val="single" w:color="auto" w:sz="6" w:space="0"/>
            </w:tcBorders>
            <w:vAlign w:val="center"/>
          </w:tcPr>
          <w:p w14:paraId="71497A6E">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学习目标</w:t>
            </w:r>
          </w:p>
        </w:tc>
        <w:tc>
          <w:tcPr>
            <w:tcW w:w="7848" w:type="dxa"/>
            <w:tcBorders>
              <w:top w:val="single" w:color="auto" w:sz="6" w:space="0"/>
              <w:left w:val="single" w:color="auto" w:sz="6" w:space="0"/>
              <w:bottom w:val="single" w:color="auto" w:sz="6" w:space="0"/>
              <w:right w:val="single" w:color="auto" w:sz="6" w:space="0"/>
            </w:tcBorders>
          </w:tcPr>
          <w:p w14:paraId="67920CBA">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 xml:space="preserve">    能说出记账凭证的概念和种类，能正确编制各种凭证，具有根据原始凭证编制记账凭证基本能力。  </w:t>
            </w:r>
          </w:p>
        </w:tc>
      </w:tr>
      <w:tr w14:paraId="5786C754">
        <w:tblPrEx>
          <w:tblCellMar>
            <w:top w:w="0" w:type="dxa"/>
            <w:left w:w="108" w:type="dxa"/>
            <w:bottom w:w="0" w:type="dxa"/>
            <w:right w:w="108" w:type="dxa"/>
          </w:tblCellMar>
        </w:tblPrEx>
        <w:trPr>
          <w:trHeight w:val="871" w:hRule="atLeast"/>
        </w:trPr>
        <w:tc>
          <w:tcPr>
            <w:tcW w:w="1152" w:type="dxa"/>
            <w:tcBorders>
              <w:top w:val="single" w:color="auto" w:sz="6" w:space="0"/>
              <w:left w:val="single" w:color="auto" w:sz="6" w:space="0"/>
              <w:bottom w:val="single" w:color="auto" w:sz="6" w:space="0"/>
              <w:right w:val="single" w:color="auto" w:sz="6" w:space="0"/>
            </w:tcBorders>
            <w:vAlign w:val="center"/>
          </w:tcPr>
          <w:p w14:paraId="6ECB039A">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相关知识</w:t>
            </w:r>
          </w:p>
        </w:tc>
        <w:tc>
          <w:tcPr>
            <w:tcW w:w="7848" w:type="dxa"/>
            <w:tcBorders>
              <w:top w:val="single" w:color="auto" w:sz="6" w:space="0"/>
              <w:left w:val="single" w:color="auto" w:sz="6" w:space="0"/>
              <w:bottom w:val="single" w:color="auto" w:sz="6" w:space="0"/>
              <w:right w:val="single" w:color="auto" w:sz="6" w:space="0"/>
            </w:tcBorders>
          </w:tcPr>
          <w:p w14:paraId="1CA8BBA7">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 xml:space="preserve">  会计凭证的涵义、种类、作用，记账凭证的涵义、种类、作用；记账凭证的内容和填制方法；会计凭证的保管。  </w:t>
            </w:r>
          </w:p>
        </w:tc>
      </w:tr>
      <w:tr w14:paraId="74906D57">
        <w:tblPrEx>
          <w:tblCellMar>
            <w:top w:w="0" w:type="dxa"/>
            <w:left w:w="108" w:type="dxa"/>
            <w:bottom w:w="0" w:type="dxa"/>
            <w:right w:w="108" w:type="dxa"/>
          </w:tblCellMar>
        </w:tblPrEx>
        <w:trPr>
          <w:trHeight w:val="458" w:hRule="atLeast"/>
        </w:trPr>
        <w:tc>
          <w:tcPr>
            <w:tcW w:w="1152" w:type="dxa"/>
            <w:tcBorders>
              <w:top w:val="single" w:color="auto" w:sz="6" w:space="0"/>
              <w:left w:val="single" w:color="auto" w:sz="6" w:space="0"/>
              <w:bottom w:val="single" w:color="auto" w:sz="6" w:space="0"/>
              <w:right w:val="single" w:color="auto" w:sz="6" w:space="0"/>
            </w:tcBorders>
            <w:vAlign w:val="center"/>
          </w:tcPr>
          <w:p w14:paraId="00760A1F">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相关实践</w:t>
            </w:r>
          </w:p>
        </w:tc>
        <w:tc>
          <w:tcPr>
            <w:tcW w:w="7848" w:type="dxa"/>
            <w:tcBorders>
              <w:top w:val="single" w:color="auto" w:sz="6" w:space="0"/>
              <w:left w:val="single" w:color="auto" w:sz="6" w:space="0"/>
              <w:bottom w:val="single" w:color="auto" w:sz="6" w:space="0"/>
              <w:right w:val="single" w:color="auto" w:sz="6" w:space="0"/>
            </w:tcBorders>
          </w:tcPr>
          <w:p w14:paraId="6C2C642B">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 xml:space="preserve">    根据业务和相应的原始凭证正确填制记账凭证，并装订会计凭证。</w:t>
            </w:r>
          </w:p>
        </w:tc>
      </w:tr>
      <w:tr w14:paraId="58D56900">
        <w:tblPrEx>
          <w:tblCellMar>
            <w:top w:w="0" w:type="dxa"/>
            <w:left w:w="108" w:type="dxa"/>
            <w:bottom w:w="0" w:type="dxa"/>
            <w:right w:w="108" w:type="dxa"/>
          </w:tblCellMar>
        </w:tblPrEx>
        <w:trPr>
          <w:trHeight w:val="423" w:hRule="atLeast"/>
        </w:trPr>
        <w:tc>
          <w:tcPr>
            <w:tcW w:w="1152" w:type="dxa"/>
            <w:tcBorders>
              <w:top w:val="single" w:color="auto" w:sz="6" w:space="0"/>
              <w:left w:val="single" w:color="auto" w:sz="6" w:space="0"/>
              <w:bottom w:val="single" w:color="auto" w:sz="6" w:space="0"/>
              <w:right w:val="single" w:color="auto" w:sz="6" w:space="0"/>
            </w:tcBorders>
            <w:vAlign w:val="center"/>
          </w:tcPr>
          <w:p w14:paraId="74BB8A98">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扩展知识</w:t>
            </w:r>
          </w:p>
        </w:tc>
        <w:tc>
          <w:tcPr>
            <w:tcW w:w="7848" w:type="dxa"/>
            <w:tcBorders>
              <w:top w:val="single" w:color="auto" w:sz="6" w:space="0"/>
              <w:left w:val="single" w:color="auto" w:sz="6" w:space="0"/>
              <w:bottom w:val="single" w:color="auto" w:sz="6" w:space="0"/>
              <w:right w:val="single" w:color="auto" w:sz="6" w:space="0"/>
            </w:tcBorders>
          </w:tcPr>
          <w:p w14:paraId="47D3AE5C">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我国会计基本工作规范相关会计凭证的规范要求内容。</w:t>
            </w:r>
          </w:p>
        </w:tc>
      </w:tr>
      <w:tr w14:paraId="57F7CBEC">
        <w:tblPrEx>
          <w:tblCellMar>
            <w:top w:w="0" w:type="dxa"/>
            <w:left w:w="108" w:type="dxa"/>
            <w:bottom w:w="0" w:type="dxa"/>
            <w:right w:w="108" w:type="dxa"/>
          </w:tblCellMar>
        </w:tblPrEx>
        <w:trPr>
          <w:trHeight w:val="328" w:hRule="atLeast"/>
        </w:trPr>
        <w:tc>
          <w:tcPr>
            <w:tcW w:w="1152" w:type="dxa"/>
            <w:tcBorders>
              <w:top w:val="single" w:color="auto" w:sz="6" w:space="0"/>
              <w:left w:val="single" w:color="auto" w:sz="6" w:space="0"/>
              <w:bottom w:val="single" w:color="auto" w:sz="6" w:space="0"/>
              <w:right w:val="single" w:color="auto" w:sz="6" w:space="0"/>
            </w:tcBorders>
            <w:vAlign w:val="center"/>
          </w:tcPr>
          <w:p w14:paraId="27C3910E">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考核建议</w:t>
            </w:r>
          </w:p>
        </w:tc>
        <w:tc>
          <w:tcPr>
            <w:tcW w:w="7848" w:type="dxa"/>
            <w:tcBorders>
              <w:top w:val="single" w:color="auto" w:sz="6" w:space="0"/>
              <w:left w:val="single" w:color="auto" w:sz="6" w:space="0"/>
              <w:bottom w:val="single" w:color="auto" w:sz="6" w:space="0"/>
              <w:right w:val="single" w:color="auto" w:sz="6" w:space="0"/>
            </w:tcBorders>
          </w:tcPr>
          <w:p w14:paraId="3C6199A1">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 xml:space="preserve">    记账凭证填制和装订的技能综合测试。</w:t>
            </w:r>
          </w:p>
        </w:tc>
      </w:tr>
    </w:tbl>
    <w:p w14:paraId="3255F1FB">
      <w:pPr>
        <w:spacing w:line="580" w:lineRule="exact"/>
        <w:ind w:firstLine="640" w:firstLineChars="200"/>
        <w:rPr>
          <w:rFonts w:ascii="仿宋" w:hAnsi="仿宋" w:eastAsia="仿宋"/>
          <w:sz w:val="32"/>
          <w:szCs w:val="32"/>
        </w:rPr>
      </w:pPr>
      <w:r>
        <w:rPr>
          <w:rFonts w:hint="eastAsia" w:ascii="仿宋" w:hAnsi="仿宋" w:eastAsia="仿宋"/>
          <w:sz w:val="32"/>
          <w:szCs w:val="32"/>
        </w:rPr>
        <w:t>4、登记账簿</w:t>
      </w:r>
    </w:p>
    <w:tbl>
      <w:tblPr>
        <w:tblStyle w:val="15"/>
        <w:tblW w:w="9000" w:type="dxa"/>
        <w:tblInd w:w="108" w:type="dxa"/>
        <w:tblLayout w:type="fixed"/>
        <w:tblCellMar>
          <w:top w:w="0" w:type="dxa"/>
          <w:left w:w="108" w:type="dxa"/>
          <w:bottom w:w="0" w:type="dxa"/>
          <w:right w:w="108" w:type="dxa"/>
        </w:tblCellMar>
      </w:tblPr>
      <w:tblGrid>
        <w:gridCol w:w="1301"/>
        <w:gridCol w:w="7699"/>
      </w:tblGrid>
      <w:tr w14:paraId="0916C6B1">
        <w:tblPrEx>
          <w:tblCellMar>
            <w:top w:w="0" w:type="dxa"/>
            <w:left w:w="108" w:type="dxa"/>
            <w:bottom w:w="0" w:type="dxa"/>
            <w:right w:w="108" w:type="dxa"/>
          </w:tblCellMar>
        </w:tblPrEx>
        <w:trPr>
          <w:trHeight w:val="391" w:hRule="atLeast"/>
        </w:trPr>
        <w:tc>
          <w:tcPr>
            <w:tcW w:w="1301" w:type="dxa"/>
            <w:tcBorders>
              <w:top w:val="single" w:color="auto" w:sz="6" w:space="0"/>
              <w:left w:val="single" w:color="auto" w:sz="6" w:space="0"/>
              <w:bottom w:val="single" w:color="auto" w:sz="6" w:space="0"/>
              <w:right w:val="single" w:color="auto" w:sz="6" w:space="0"/>
            </w:tcBorders>
            <w:vAlign w:val="center"/>
          </w:tcPr>
          <w:p w14:paraId="2171275E">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参考学时</w:t>
            </w:r>
          </w:p>
        </w:tc>
        <w:tc>
          <w:tcPr>
            <w:tcW w:w="7699" w:type="dxa"/>
            <w:tcBorders>
              <w:top w:val="single" w:color="auto" w:sz="6" w:space="0"/>
              <w:left w:val="single" w:color="auto" w:sz="6" w:space="0"/>
              <w:bottom w:val="single" w:color="auto" w:sz="6" w:space="0"/>
              <w:right w:val="single" w:color="auto" w:sz="6" w:space="0"/>
            </w:tcBorders>
          </w:tcPr>
          <w:p w14:paraId="22903675">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8+2</w:t>
            </w:r>
          </w:p>
        </w:tc>
      </w:tr>
      <w:tr w14:paraId="51B93775">
        <w:tblPrEx>
          <w:tblCellMar>
            <w:top w:w="0" w:type="dxa"/>
            <w:left w:w="108" w:type="dxa"/>
            <w:bottom w:w="0" w:type="dxa"/>
            <w:right w:w="108" w:type="dxa"/>
          </w:tblCellMar>
        </w:tblPrEx>
        <w:trPr>
          <w:trHeight w:val="771" w:hRule="atLeast"/>
        </w:trPr>
        <w:tc>
          <w:tcPr>
            <w:tcW w:w="1301" w:type="dxa"/>
            <w:tcBorders>
              <w:top w:val="single" w:color="auto" w:sz="6" w:space="0"/>
              <w:left w:val="single" w:color="auto" w:sz="6" w:space="0"/>
              <w:bottom w:val="single" w:color="auto" w:sz="6" w:space="0"/>
              <w:right w:val="single" w:color="auto" w:sz="6" w:space="0"/>
            </w:tcBorders>
            <w:vAlign w:val="center"/>
          </w:tcPr>
          <w:p w14:paraId="18EC915B">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学习目标</w:t>
            </w:r>
          </w:p>
        </w:tc>
        <w:tc>
          <w:tcPr>
            <w:tcW w:w="7699" w:type="dxa"/>
            <w:tcBorders>
              <w:top w:val="single" w:color="auto" w:sz="6" w:space="0"/>
              <w:left w:val="single" w:color="auto" w:sz="6" w:space="0"/>
              <w:bottom w:val="single" w:color="auto" w:sz="6" w:space="0"/>
              <w:right w:val="single" w:color="auto" w:sz="6" w:space="0"/>
            </w:tcBorders>
          </w:tcPr>
          <w:p w14:paraId="069D0D64">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 xml:space="preserve">    能说出账簿的涵义、种类、作用，能具有基本的建账、记账、算账、查帐和更账的初步技能；</w:t>
            </w:r>
          </w:p>
        </w:tc>
      </w:tr>
      <w:tr w14:paraId="7C04B12B">
        <w:tblPrEx>
          <w:tblCellMar>
            <w:top w:w="0" w:type="dxa"/>
            <w:left w:w="108" w:type="dxa"/>
            <w:bottom w:w="0" w:type="dxa"/>
            <w:right w:w="108" w:type="dxa"/>
          </w:tblCellMar>
        </w:tblPrEx>
        <w:trPr>
          <w:trHeight w:val="602" w:hRule="atLeast"/>
        </w:trPr>
        <w:tc>
          <w:tcPr>
            <w:tcW w:w="1301" w:type="dxa"/>
            <w:tcBorders>
              <w:top w:val="single" w:color="auto" w:sz="6" w:space="0"/>
              <w:left w:val="single" w:color="auto" w:sz="6" w:space="0"/>
              <w:bottom w:val="single" w:color="auto" w:sz="6" w:space="0"/>
              <w:right w:val="single" w:color="auto" w:sz="6" w:space="0"/>
            </w:tcBorders>
            <w:vAlign w:val="center"/>
          </w:tcPr>
          <w:p w14:paraId="30A2E100">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相关知识</w:t>
            </w:r>
          </w:p>
        </w:tc>
        <w:tc>
          <w:tcPr>
            <w:tcW w:w="7699" w:type="dxa"/>
            <w:tcBorders>
              <w:top w:val="single" w:color="auto" w:sz="6" w:space="0"/>
              <w:left w:val="single" w:color="auto" w:sz="6" w:space="0"/>
              <w:bottom w:val="single" w:color="auto" w:sz="6" w:space="0"/>
              <w:right w:val="single" w:color="auto" w:sz="6" w:space="0"/>
            </w:tcBorders>
          </w:tcPr>
          <w:p w14:paraId="7C245D7F">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会计账簿的涵义、意义、种类；账簿启用；记账规则；错账更账；结账对账；试算平衡。</w:t>
            </w:r>
          </w:p>
        </w:tc>
      </w:tr>
      <w:tr w14:paraId="04C7DCF0">
        <w:tblPrEx>
          <w:tblCellMar>
            <w:top w:w="0" w:type="dxa"/>
            <w:left w:w="108" w:type="dxa"/>
            <w:bottom w:w="0" w:type="dxa"/>
            <w:right w:w="108" w:type="dxa"/>
          </w:tblCellMar>
        </w:tblPrEx>
        <w:trPr>
          <w:trHeight w:val="564" w:hRule="atLeast"/>
        </w:trPr>
        <w:tc>
          <w:tcPr>
            <w:tcW w:w="1301" w:type="dxa"/>
            <w:tcBorders>
              <w:top w:val="single" w:color="auto" w:sz="6" w:space="0"/>
              <w:left w:val="single" w:color="auto" w:sz="6" w:space="0"/>
              <w:bottom w:val="single" w:color="auto" w:sz="6" w:space="0"/>
              <w:right w:val="single" w:color="auto" w:sz="6" w:space="0"/>
            </w:tcBorders>
            <w:vAlign w:val="center"/>
          </w:tcPr>
          <w:p w14:paraId="5AA9BA76">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相关实践</w:t>
            </w:r>
          </w:p>
        </w:tc>
        <w:tc>
          <w:tcPr>
            <w:tcW w:w="7699" w:type="dxa"/>
            <w:tcBorders>
              <w:top w:val="single" w:color="auto" w:sz="6" w:space="0"/>
              <w:left w:val="single" w:color="auto" w:sz="6" w:space="0"/>
              <w:bottom w:val="single" w:color="auto" w:sz="6" w:space="0"/>
              <w:right w:val="single" w:color="auto" w:sz="6" w:space="0"/>
            </w:tcBorders>
          </w:tcPr>
          <w:p w14:paraId="74C4D11E">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 xml:space="preserve">   建账、记账、算账、结账、对账、更账的基本技能； 账簿识别基本能力。</w:t>
            </w:r>
          </w:p>
        </w:tc>
      </w:tr>
      <w:tr w14:paraId="7157F86B">
        <w:tblPrEx>
          <w:tblCellMar>
            <w:top w:w="0" w:type="dxa"/>
            <w:left w:w="108" w:type="dxa"/>
            <w:bottom w:w="0" w:type="dxa"/>
            <w:right w:w="108" w:type="dxa"/>
          </w:tblCellMar>
        </w:tblPrEx>
        <w:trPr>
          <w:trHeight w:val="445" w:hRule="atLeast"/>
        </w:trPr>
        <w:tc>
          <w:tcPr>
            <w:tcW w:w="1301" w:type="dxa"/>
            <w:tcBorders>
              <w:top w:val="single" w:color="auto" w:sz="6" w:space="0"/>
              <w:left w:val="single" w:color="auto" w:sz="6" w:space="0"/>
              <w:bottom w:val="single" w:color="auto" w:sz="6" w:space="0"/>
              <w:right w:val="single" w:color="auto" w:sz="6" w:space="0"/>
            </w:tcBorders>
            <w:vAlign w:val="center"/>
          </w:tcPr>
          <w:p w14:paraId="5580231D">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扩展知识</w:t>
            </w:r>
          </w:p>
        </w:tc>
        <w:tc>
          <w:tcPr>
            <w:tcW w:w="7699" w:type="dxa"/>
            <w:tcBorders>
              <w:top w:val="single" w:color="auto" w:sz="6" w:space="0"/>
              <w:left w:val="single" w:color="auto" w:sz="6" w:space="0"/>
              <w:bottom w:val="single" w:color="auto" w:sz="6" w:space="0"/>
              <w:right w:val="single" w:color="auto" w:sz="6" w:space="0"/>
            </w:tcBorders>
          </w:tcPr>
          <w:p w14:paraId="68612615">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我国会计基本工作规范对账簿规范的相关内容。</w:t>
            </w:r>
          </w:p>
        </w:tc>
      </w:tr>
      <w:tr w14:paraId="5A443991">
        <w:tblPrEx>
          <w:tblCellMar>
            <w:top w:w="0" w:type="dxa"/>
            <w:left w:w="108" w:type="dxa"/>
            <w:bottom w:w="0" w:type="dxa"/>
            <w:right w:w="108" w:type="dxa"/>
          </w:tblCellMar>
        </w:tblPrEx>
        <w:trPr>
          <w:trHeight w:val="391" w:hRule="atLeast"/>
        </w:trPr>
        <w:tc>
          <w:tcPr>
            <w:tcW w:w="1301" w:type="dxa"/>
            <w:tcBorders>
              <w:top w:val="single" w:color="auto" w:sz="6" w:space="0"/>
              <w:left w:val="single" w:color="auto" w:sz="6" w:space="0"/>
              <w:bottom w:val="single" w:color="auto" w:sz="6" w:space="0"/>
              <w:right w:val="single" w:color="auto" w:sz="6" w:space="0"/>
            </w:tcBorders>
            <w:vAlign w:val="center"/>
          </w:tcPr>
          <w:p w14:paraId="1AD74E9A">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考核建议</w:t>
            </w:r>
          </w:p>
        </w:tc>
        <w:tc>
          <w:tcPr>
            <w:tcW w:w="7699" w:type="dxa"/>
            <w:tcBorders>
              <w:top w:val="single" w:color="auto" w:sz="6" w:space="0"/>
              <w:left w:val="single" w:color="auto" w:sz="6" w:space="0"/>
              <w:bottom w:val="single" w:color="auto" w:sz="6" w:space="0"/>
              <w:right w:val="single" w:color="auto" w:sz="6" w:space="0"/>
            </w:tcBorders>
          </w:tcPr>
          <w:p w14:paraId="3F7F43B8">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 xml:space="preserve">   建账、记账、算账、结账、对账、更账的基本技能综合测试。</w:t>
            </w:r>
          </w:p>
        </w:tc>
      </w:tr>
    </w:tbl>
    <w:p w14:paraId="1C8FA6C0">
      <w:pPr>
        <w:spacing w:line="580" w:lineRule="exact"/>
        <w:ind w:firstLine="640" w:firstLineChars="200"/>
        <w:rPr>
          <w:rFonts w:ascii="仿宋" w:hAnsi="仿宋" w:eastAsia="仿宋"/>
          <w:sz w:val="32"/>
          <w:szCs w:val="32"/>
        </w:rPr>
      </w:pPr>
      <w:r>
        <w:rPr>
          <w:rFonts w:hint="eastAsia" w:ascii="仿宋" w:hAnsi="仿宋" w:eastAsia="仿宋"/>
          <w:sz w:val="32"/>
          <w:szCs w:val="32"/>
        </w:rPr>
        <w:t>模块四：财产清查</w:t>
      </w:r>
    </w:p>
    <w:tbl>
      <w:tblPr>
        <w:tblStyle w:val="15"/>
        <w:tblW w:w="89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7776"/>
      </w:tblGrid>
      <w:tr w14:paraId="24B6C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Align w:val="center"/>
          </w:tcPr>
          <w:p w14:paraId="7BDA4A39">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参考学时</w:t>
            </w:r>
          </w:p>
        </w:tc>
        <w:tc>
          <w:tcPr>
            <w:tcW w:w="7776" w:type="dxa"/>
          </w:tcPr>
          <w:p w14:paraId="3800C798">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 xml:space="preserve">6  </w:t>
            </w:r>
          </w:p>
        </w:tc>
      </w:tr>
      <w:tr w14:paraId="0EA9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Align w:val="center"/>
          </w:tcPr>
          <w:p w14:paraId="68B8546D">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学习目标</w:t>
            </w:r>
          </w:p>
        </w:tc>
        <w:tc>
          <w:tcPr>
            <w:tcW w:w="7776" w:type="dxa"/>
          </w:tcPr>
          <w:p w14:paraId="591B920C">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能知道财产清查基本知识，能说出财务清查的不同方法的适用范围，会进行财产清查结果的财务处理，具有运用财产清查方法处理案例资料的基本能力。</w:t>
            </w:r>
          </w:p>
        </w:tc>
      </w:tr>
      <w:tr w14:paraId="5395F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Align w:val="center"/>
          </w:tcPr>
          <w:p w14:paraId="0F018BAA">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相关知识</w:t>
            </w:r>
          </w:p>
        </w:tc>
        <w:tc>
          <w:tcPr>
            <w:tcW w:w="7776" w:type="dxa"/>
          </w:tcPr>
          <w:p w14:paraId="07932656">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财产清查的涵义、意义、各种方法；财产物质的盘存制度；各种清查方法；清查结果的帐务处理。</w:t>
            </w:r>
          </w:p>
        </w:tc>
      </w:tr>
      <w:tr w14:paraId="6C6C7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Align w:val="center"/>
          </w:tcPr>
          <w:p w14:paraId="0B7FFCD6">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相关实践</w:t>
            </w:r>
          </w:p>
        </w:tc>
        <w:tc>
          <w:tcPr>
            <w:tcW w:w="7776" w:type="dxa"/>
          </w:tcPr>
          <w:p w14:paraId="58BA90D2">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财产清查方法的案例使用。</w:t>
            </w:r>
          </w:p>
        </w:tc>
      </w:tr>
      <w:tr w14:paraId="7573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Align w:val="center"/>
          </w:tcPr>
          <w:p w14:paraId="0D40D954">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扩展知识</w:t>
            </w:r>
          </w:p>
        </w:tc>
        <w:tc>
          <w:tcPr>
            <w:tcW w:w="7776" w:type="dxa"/>
          </w:tcPr>
          <w:p w14:paraId="614DAB37">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我国会计基本工作规范对财产清查规范的相关内容。</w:t>
            </w:r>
          </w:p>
        </w:tc>
      </w:tr>
      <w:tr w14:paraId="35CF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Align w:val="center"/>
          </w:tcPr>
          <w:p w14:paraId="41E8F09C">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考核建议</w:t>
            </w:r>
          </w:p>
        </w:tc>
        <w:tc>
          <w:tcPr>
            <w:tcW w:w="7776" w:type="dxa"/>
          </w:tcPr>
          <w:p w14:paraId="66C6E887">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财产清查方法的运用及结果的处理的案例综合测试。</w:t>
            </w:r>
          </w:p>
        </w:tc>
      </w:tr>
    </w:tbl>
    <w:p w14:paraId="2E5E8FD1">
      <w:pPr>
        <w:spacing w:line="580" w:lineRule="exact"/>
        <w:ind w:firstLine="640" w:firstLineChars="200"/>
        <w:rPr>
          <w:rFonts w:ascii="仿宋" w:hAnsi="仿宋" w:eastAsia="仿宋"/>
          <w:sz w:val="28"/>
          <w:szCs w:val="28"/>
        </w:rPr>
      </w:pPr>
      <w:r>
        <w:rPr>
          <w:rFonts w:hint="eastAsia" w:ascii="仿宋" w:hAnsi="仿宋" w:eastAsia="仿宋"/>
          <w:sz w:val="32"/>
          <w:szCs w:val="32"/>
        </w:rPr>
        <w:t>模块五：财务会计报告</w:t>
      </w:r>
      <w:r>
        <w:rPr>
          <w:rFonts w:hint="eastAsia" w:ascii="仿宋" w:hAnsi="仿宋" w:eastAsia="仿宋"/>
          <w:sz w:val="28"/>
          <w:szCs w:val="28"/>
        </w:rPr>
        <w:t xml:space="preserve"> </w:t>
      </w:r>
    </w:p>
    <w:tbl>
      <w:tblPr>
        <w:tblStyle w:val="15"/>
        <w:tblW w:w="89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7776"/>
      </w:tblGrid>
      <w:tr w14:paraId="3D47E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Align w:val="center"/>
          </w:tcPr>
          <w:p w14:paraId="651CF3F6">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参考学时</w:t>
            </w:r>
          </w:p>
        </w:tc>
        <w:tc>
          <w:tcPr>
            <w:tcW w:w="7776" w:type="dxa"/>
          </w:tcPr>
          <w:p w14:paraId="0EDE4B4C">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6</w:t>
            </w:r>
          </w:p>
        </w:tc>
      </w:tr>
      <w:tr w14:paraId="29AD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Align w:val="center"/>
          </w:tcPr>
          <w:p w14:paraId="5701C38C">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学习目标</w:t>
            </w:r>
          </w:p>
        </w:tc>
        <w:tc>
          <w:tcPr>
            <w:tcW w:w="7776" w:type="dxa"/>
          </w:tcPr>
          <w:p w14:paraId="28B3C5A9">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 xml:space="preserve">   能说出财务会计报告体系、资产负债表、利润表的结构、内容、编制方法。能根据所给的资料编制简化的资产负债表、利润表。</w:t>
            </w:r>
          </w:p>
        </w:tc>
      </w:tr>
      <w:tr w14:paraId="23A6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Align w:val="center"/>
          </w:tcPr>
          <w:p w14:paraId="286E46E4">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相关知识</w:t>
            </w:r>
          </w:p>
        </w:tc>
        <w:tc>
          <w:tcPr>
            <w:tcW w:w="7776" w:type="dxa"/>
          </w:tcPr>
          <w:p w14:paraId="45AE3FBF">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财务报告的涵义、意义、种类；资产负债表的涵义、作用、结构、编制方法；利润表的涵义、作用、结构、编制方法；</w:t>
            </w:r>
          </w:p>
        </w:tc>
      </w:tr>
      <w:tr w14:paraId="083D2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Align w:val="center"/>
          </w:tcPr>
          <w:p w14:paraId="0C501FB0">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相关实践</w:t>
            </w:r>
          </w:p>
        </w:tc>
        <w:tc>
          <w:tcPr>
            <w:tcW w:w="7776" w:type="dxa"/>
          </w:tcPr>
          <w:p w14:paraId="5B7570C6">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编制简化的资产负债表、利润表。</w:t>
            </w:r>
          </w:p>
        </w:tc>
      </w:tr>
      <w:tr w14:paraId="54DD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Align w:val="center"/>
          </w:tcPr>
          <w:p w14:paraId="60AE89C7">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扩展知识</w:t>
            </w:r>
          </w:p>
        </w:tc>
        <w:tc>
          <w:tcPr>
            <w:tcW w:w="7776" w:type="dxa"/>
          </w:tcPr>
          <w:p w14:paraId="51B6A4ED">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现金流量表的涵义、结构。</w:t>
            </w:r>
          </w:p>
        </w:tc>
      </w:tr>
      <w:tr w14:paraId="396A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Align w:val="center"/>
          </w:tcPr>
          <w:p w14:paraId="1167E6A1">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考核建议</w:t>
            </w:r>
          </w:p>
        </w:tc>
        <w:tc>
          <w:tcPr>
            <w:tcW w:w="7776" w:type="dxa"/>
          </w:tcPr>
          <w:p w14:paraId="43392A95">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 xml:space="preserve">  所给的资料编制简化的资产负债表、利润表的案例综合测试。</w:t>
            </w:r>
          </w:p>
        </w:tc>
      </w:tr>
    </w:tbl>
    <w:p w14:paraId="1EC5CAC5">
      <w:pPr>
        <w:spacing w:line="580" w:lineRule="exact"/>
        <w:ind w:firstLine="640" w:firstLineChars="200"/>
        <w:rPr>
          <w:rFonts w:ascii="仿宋" w:hAnsi="仿宋" w:eastAsia="仿宋"/>
          <w:sz w:val="32"/>
          <w:szCs w:val="32"/>
        </w:rPr>
      </w:pPr>
      <w:r>
        <w:rPr>
          <w:rFonts w:hint="eastAsia" w:ascii="仿宋" w:hAnsi="仿宋" w:eastAsia="仿宋"/>
          <w:sz w:val="32"/>
          <w:szCs w:val="32"/>
        </w:rPr>
        <w:t>模块六：会计工作规范</w:t>
      </w:r>
    </w:p>
    <w:p w14:paraId="0BE1FBC6">
      <w:pPr>
        <w:spacing w:line="580" w:lineRule="exact"/>
        <w:ind w:firstLine="640" w:firstLineChars="200"/>
        <w:rPr>
          <w:rFonts w:ascii="仿宋" w:hAnsi="仿宋" w:eastAsia="仿宋"/>
          <w:sz w:val="32"/>
          <w:szCs w:val="32"/>
        </w:rPr>
      </w:pPr>
      <w:r>
        <w:rPr>
          <w:rFonts w:hint="eastAsia" w:ascii="仿宋" w:hAnsi="仿宋" w:eastAsia="仿宋"/>
          <w:sz w:val="32"/>
          <w:szCs w:val="32"/>
        </w:rPr>
        <w:t>1、会计处理程序</w:t>
      </w:r>
    </w:p>
    <w:tbl>
      <w:tblPr>
        <w:tblStyle w:val="15"/>
        <w:tblW w:w="9000" w:type="dxa"/>
        <w:tblInd w:w="108" w:type="dxa"/>
        <w:tblLayout w:type="fixed"/>
        <w:tblCellMar>
          <w:top w:w="0" w:type="dxa"/>
          <w:left w:w="108" w:type="dxa"/>
          <w:bottom w:w="0" w:type="dxa"/>
          <w:right w:w="108" w:type="dxa"/>
        </w:tblCellMar>
      </w:tblPr>
      <w:tblGrid>
        <w:gridCol w:w="1215"/>
        <w:gridCol w:w="7785"/>
      </w:tblGrid>
      <w:tr w14:paraId="7823FBE8">
        <w:tblPrEx>
          <w:tblCellMar>
            <w:top w:w="0" w:type="dxa"/>
            <w:left w:w="108" w:type="dxa"/>
            <w:bottom w:w="0" w:type="dxa"/>
            <w:right w:w="108" w:type="dxa"/>
          </w:tblCellMar>
        </w:tblPrEx>
        <w:trPr>
          <w:trHeight w:val="391" w:hRule="atLeast"/>
        </w:trPr>
        <w:tc>
          <w:tcPr>
            <w:tcW w:w="1215" w:type="dxa"/>
            <w:tcBorders>
              <w:top w:val="single" w:color="auto" w:sz="6" w:space="0"/>
              <w:left w:val="single" w:color="auto" w:sz="6" w:space="0"/>
              <w:bottom w:val="single" w:color="auto" w:sz="6" w:space="0"/>
              <w:right w:val="single" w:color="auto" w:sz="6" w:space="0"/>
            </w:tcBorders>
            <w:vAlign w:val="center"/>
          </w:tcPr>
          <w:p w14:paraId="24D1F96A">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参考学时</w:t>
            </w:r>
          </w:p>
        </w:tc>
        <w:tc>
          <w:tcPr>
            <w:tcW w:w="7785" w:type="dxa"/>
            <w:tcBorders>
              <w:top w:val="single" w:color="auto" w:sz="6" w:space="0"/>
              <w:left w:val="single" w:color="auto" w:sz="6" w:space="0"/>
              <w:bottom w:val="single" w:color="auto" w:sz="6" w:space="0"/>
              <w:right w:val="single" w:color="auto" w:sz="6" w:space="0"/>
            </w:tcBorders>
          </w:tcPr>
          <w:p w14:paraId="6C738960">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4</w:t>
            </w:r>
          </w:p>
        </w:tc>
      </w:tr>
      <w:tr w14:paraId="18CDF0A1">
        <w:tblPrEx>
          <w:tblCellMar>
            <w:top w:w="0" w:type="dxa"/>
            <w:left w:w="108" w:type="dxa"/>
            <w:bottom w:w="0" w:type="dxa"/>
            <w:right w:w="108" w:type="dxa"/>
          </w:tblCellMar>
        </w:tblPrEx>
        <w:trPr>
          <w:trHeight w:val="787" w:hRule="atLeast"/>
        </w:trPr>
        <w:tc>
          <w:tcPr>
            <w:tcW w:w="1215" w:type="dxa"/>
            <w:tcBorders>
              <w:top w:val="single" w:color="auto" w:sz="6" w:space="0"/>
              <w:left w:val="single" w:color="auto" w:sz="6" w:space="0"/>
              <w:bottom w:val="single" w:color="auto" w:sz="6" w:space="0"/>
              <w:right w:val="single" w:color="auto" w:sz="6" w:space="0"/>
            </w:tcBorders>
            <w:vAlign w:val="center"/>
          </w:tcPr>
          <w:p w14:paraId="4D3EB4A9">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学习目标</w:t>
            </w:r>
          </w:p>
        </w:tc>
        <w:tc>
          <w:tcPr>
            <w:tcW w:w="7785" w:type="dxa"/>
            <w:tcBorders>
              <w:top w:val="single" w:color="auto" w:sz="6" w:space="0"/>
              <w:left w:val="single" w:color="auto" w:sz="6" w:space="0"/>
              <w:bottom w:val="single" w:color="auto" w:sz="6" w:space="0"/>
              <w:right w:val="single" w:color="auto" w:sz="6" w:space="0"/>
            </w:tcBorders>
          </w:tcPr>
          <w:p w14:paraId="107B5AD0">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 xml:space="preserve">    能说出会计处理程序的涵义，种类及记账凭证会计处理程序、科目汇总表账务处理程序的特点、使用的账簿、凭证、账务处理的程序和适应范围。  </w:t>
            </w:r>
          </w:p>
        </w:tc>
      </w:tr>
      <w:tr w14:paraId="155787AF">
        <w:tblPrEx>
          <w:tblCellMar>
            <w:top w:w="0" w:type="dxa"/>
            <w:left w:w="108" w:type="dxa"/>
            <w:bottom w:w="0" w:type="dxa"/>
            <w:right w:w="108" w:type="dxa"/>
          </w:tblCellMar>
        </w:tblPrEx>
        <w:trPr>
          <w:trHeight w:val="1222" w:hRule="atLeast"/>
        </w:trPr>
        <w:tc>
          <w:tcPr>
            <w:tcW w:w="1215" w:type="dxa"/>
            <w:tcBorders>
              <w:top w:val="single" w:color="auto" w:sz="6" w:space="0"/>
              <w:left w:val="single" w:color="auto" w:sz="6" w:space="0"/>
              <w:bottom w:val="single" w:color="auto" w:sz="6" w:space="0"/>
              <w:right w:val="single" w:color="auto" w:sz="6" w:space="0"/>
            </w:tcBorders>
            <w:vAlign w:val="center"/>
          </w:tcPr>
          <w:p w14:paraId="21EF1D34">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相关知识</w:t>
            </w:r>
          </w:p>
        </w:tc>
        <w:tc>
          <w:tcPr>
            <w:tcW w:w="7785" w:type="dxa"/>
            <w:tcBorders>
              <w:top w:val="single" w:color="auto" w:sz="6" w:space="0"/>
              <w:left w:val="single" w:color="auto" w:sz="6" w:space="0"/>
              <w:bottom w:val="single" w:color="auto" w:sz="6" w:space="0"/>
              <w:right w:val="single" w:color="auto" w:sz="6" w:space="0"/>
            </w:tcBorders>
          </w:tcPr>
          <w:p w14:paraId="16975B2F">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 xml:space="preserve">   会计处理程序的涵义、意义、基本模式、种类；记账凭证会计处理程序特点、使用的账簿、凭证、账务处理的程序和适应范围；科目汇总表账务处理程序的特点、使用的账簿、凭证、账务处理的程序和适应范围。</w:t>
            </w:r>
          </w:p>
        </w:tc>
      </w:tr>
      <w:tr w14:paraId="3B95ECBF">
        <w:tblPrEx>
          <w:tblCellMar>
            <w:top w:w="0" w:type="dxa"/>
            <w:left w:w="108" w:type="dxa"/>
            <w:bottom w:w="0" w:type="dxa"/>
            <w:right w:w="108" w:type="dxa"/>
          </w:tblCellMar>
        </w:tblPrEx>
        <w:trPr>
          <w:trHeight w:val="397" w:hRule="atLeast"/>
        </w:trPr>
        <w:tc>
          <w:tcPr>
            <w:tcW w:w="1215" w:type="dxa"/>
            <w:tcBorders>
              <w:top w:val="single" w:color="auto" w:sz="6" w:space="0"/>
              <w:left w:val="single" w:color="auto" w:sz="6" w:space="0"/>
              <w:bottom w:val="single" w:color="auto" w:sz="6" w:space="0"/>
              <w:right w:val="single" w:color="auto" w:sz="6" w:space="0"/>
            </w:tcBorders>
            <w:vAlign w:val="center"/>
          </w:tcPr>
          <w:p w14:paraId="6272A646">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相关实践</w:t>
            </w:r>
          </w:p>
        </w:tc>
        <w:tc>
          <w:tcPr>
            <w:tcW w:w="7785" w:type="dxa"/>
            <w:tcBorders>
              <w:top w:val="single" w:color="auto" w:sz="6" w:space="0"/>
              <w:left w:val="single" w:color="auto" w:sz="6" w:space="0"/>
              <w:bottom w:val="single" w:color="auto" w:sz="6" w:space="0"/>
              <w:right w:val="single" w:color="auto" w:sz="6" w:space="0"/>
            </w:tcBorders>
          </w:tcPr>
          <w:p w14:paraId="4467637D">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 xml:space="preserve">    记账凭证会计处理程序、科目汇总表账务处理程序案例综合实训。</w:t>
            </w:r>
          </w:p>
        </w:tc>
      </w:tr>
      <w:tr w14:paraId="3A274A0A">
        <w:tblPrEx>
          <w:tblCellMar>
            <w:top w:w="0" w:type="dxa"/>
            <w:left w:w="108" w:type="dxa"/>
            <w:bottom w:w="0" w:type="dxa"/>
            <w:right w:w="108" w:type="dxa"/>
          </w:tblCellMar>
        </w:tblPrEx>
        <w:trPr>
          <w:trHeight w:val="397" w:hRule="atLeast"/>
        </w:trPr>
        <w:tc>
          <w:tcPr>
            <w:tcW w:w="1215" w:type="dxa"/>
            <w:tcBorders>
              <w:top w:val="single" w:color="auto" w:sz="6" w:space="0"/>
              <w:left w:val="single" w:color="auto" w:sz="6" w:space="0"/>
              <w:bottom w:val="single" w:color="auto" w:sz="6" w:space="0"/>
              <w:right w:val="single" w:color="auto" w:sz="6" w:space="0"/>
            </w:tcBorders>
            <w:vAlign w:val="center"/>
          </w:tcPr>
          <w:p w14:paraId="0A988F0D">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扩展知识</w:t>
            </w:r>
          </w:p>
        </w:tc>
        <w:tc>
          <w:tcPr>
            <w:tcW w:w="7785" w:type="dxa"/>
            <w:tcBorders>
              <w:top w:val="single" w:color="auto" w:sz="6" w:space="0"/>
              <w:left w:val="single" w:color="auto" w:sz="6" w:space="0"/>
              <w:bottom w:val="single" w:color="auto" w:sz="6" w:space="0"/>
              <w:right w:val="single" w:color="auto" w:sz="6" w:space="0"/>
            </w:tcBorders>
          </w:tcPr>
          <w:p w14:paraId="04A0E1C2">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其他会计处理程序的基本程序的特点和账务体系。</w:t>
            </w:r>
          </w:p>
        </w:tc>
      </w:tr>
      <w:tr w14:paraId="0D0B4856">
        <w:tblPrEx>
          <w:tblCellMar>
            <w:top w:w="0" w:type="dxa"/>
            <w:left w:w="108" w:type="dxa"/>
            <w:bottom w:w="0" w:type="dxa"/>
            <w:right w:w="108" w:type="dxa"/>
          </w:tblCellMar>
        </w:tblPrEx>
        <w:trPr>
          <w:trHeight w:val="391" w:hRule="atLeast"/>
        </w:trPr>
        <w:tc>
          <w:tcPr>
            <w:tcW w:w="1215" w:type="dxa"/>
            <w:tcBorders>
              <w:top w:val="single" w:color="auto" w:sz="6" w:space="0"/>
              <w:left w:val="single" w:color="auto" w:sz="6" w:space="0"/>
              <w:bottom w:val="single" w:color="auto" w:sz="6" w:space="0"/>
              <w:right w:val="single" w:color="auto" w:sz="6" w:space="0"/>
            </w:tcBorders>
            <w:vAlign w:val="center"/>
          </w:tcPr>
          <w:p w14:paraId="612582A6">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考核建议</w:t>
            </w:r>
          </w:p>
        </w:tc>
        <w:tc>
          <w:tcPr>
            <w:tcW w:w="7785" w:type="dxa"/>
            <w:tcBorders>
              <w:top w:val="single" w:color="auto" w:sz="6" w:space="0"/>
              <w:left w:val="single" w:color="auto" w:sz="6" w:space="0"/>
              <w:bottom w:val="single" w:color="auto" w:sz="6" w:space="0"/>
              <w:right w:val="single" w:color="auto" w:sz="6" w:space="0"/>
            </w:tcBorders>
          </w:tcPr>
          <w:p w14:paraId="5EAE0D60">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 xml:space="preserve">    案例实训综合测试。</w:t>
            </w:r>
          </w:p>
        </w:tc>
      </w:tr>
    </w:tbl>
    <w:p w14:paraId="0C894B3E">
      <w:pPr>
        <w:spacing w:line="580" w:lineRule="exact"/>
        <w:ind w:firstLine="640" w:firstLineChars="200"/>
        <w:rPr>
          <w:rFonts w:ascii="仿宋" w:hAnsi="仿宋" w:eastAsia="仿宋"/>
          <w:sz w:val="32"/>
          <w:szCs w:val="32"/>
        </w:rPr>
      </w:pPr>
      <w:r>
        <w:rPr>
          <w:rFonts w:hint="eastAsia" w:ascii="仿宋" w:hAnsi="仿宋" w:eastAsia="仿宋"/>
          <w:sz w:val="32"/>
          <w:szCs w:val="32"/>
        </w:rPr>
        <w:t>2、我国的会计法规体系</w:t>
      </w:r>
    </w:p>
    <w:tbl>
      <w:tblPr>
        <w:tblStyle w:val="15"/>
        <w:tblW w:w="9000" w:type="dxa"/>
        <w:tblInd w:w="108" w:type="dxa"/>
        <w:tblLayout w:type="fixed"/>
        <w:tblCellMar>
          <w:top w:w="0" w:type="dxa"/>
          <w:left w:w="108" w:type="dxa"/>
          <w:bottom w:w="0" w:type="dxa"/>
          <w:right w:w="108" w:type="dxa"/>
        </w:tblCellMar>
      </w:tblPr>
      <w:tblGrid>
        <w:gridCol w:w="1226"/>
        <w:gridCol w:w="7774"/>
      </w:tblGrid>
      <w:tr w14:paraId="527CBA38">
        <w:tblPrEx>
          <w:tblCellMar>
            <w:top w:w="0" w:type="dxa"/>
            <w:left w:w="108" w:type="dxa"/>
            <w:bottom w:w="0" w:type="dxa"/>
            <w:right w:w="108" w:type="dxa"/>
          </w:tblCellMar>
        </w:tblPrEx>
        <w:trPr>
          <w:trHeight w:val="483" w:hRule="atLeast"/>
        </w:trPr>
        <w:tc>
          <w:tcPr>
            <w:tcW w:w="1226" w:type="dxa"/>
            <w:tcBorders>
              <w:top w:val="single" w:color="auto" w:sz="6" w:space="0"/>
              <w:left w:val="single" w:color="auto" w:sz="6" w:space="0"/>
              <w:bottom w:val="single" w:color="auto" w:sz="6" w:space="0"/>
              <w:right w:val="single" w:color="auto" w:sz="6" w:space="0"/>
            </w:tcBorders>
            <w:vAlign w:val="center"/>
          </w:tcPr>
          <w:p w14:paraId="229D55B7">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参考学时</w:t>
            </w:r>
          </w:p>
        </w:tc>
        <w:tc>
          <w:tcPr>
            <w:tcW w:w="7774" w:type="dxa"/>
            <w:tcBorders>
              <w:top w:val="single" w:color="auto" w:sz="6" w:space="0"/>
              <w:left w:val="single" w:color="auto" w:sz="6" w:space="0"/>
              <w:bottom w:val="single" w:color="auto" w:sz="6" w:space="0"/>
              <w:right w:val="single" w:color="auto" w:sz="6" w:space="0"/>
            </w:tcBorders>
          </w:tcPr>
          <w:p w14:paraId="650759EE">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4</w:t>
            </w:r>
          </w:p>
        </w:tc>
      </w:tr>
      <w:tr w14:paraId="2324D97A">
        <w:tblPrEx>
          <w:tblCellMar>
            <w:top w:w="0" w:type="dxa"/>
            <w:left w:w="108" w:type="dxa"/>
            <w:bottom w:w="0" w:type="dxa"/>
            <w:right w:w="108" w:type="dxa"/>
          </w:tblCellMar>
        </w:tblPrEx>
        <w:trPr>
          <w:trHeight w:val="799" w:hRule="atLeast"/>
        </w:trPr>
        <w:tc>
          <w:tcPr>
            <w:tcW w:w="1226" w:type="dxa"/>
            <w:tcBorders>
              <w:top w:val="single" w:color="auto" w:sz="6" w:space="0"/>
              <w:left w:val="single" w:color="auto" w:sz="6" w:space="0"/>
              <w:bottom w:val="single" w:color="auto" w:sz="6" w:space="0"/>
              <w:right w:val="single" w:color="auto" w:sz="6" w:space="0"/>
            </w:tcBorders>
            <w:vAlign w:val="center"/>
          </w:tcPr>
          <w:p w14:paraId="7F11CEA5">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学习目标</w:t>
            </w:r>
          </w:p>
        </w:tc>
        <w:tc>
          <w:tcPr>
            <w:tcW w:w="7774" w:type="dxa"/>
            <w:tcBorders>
              <w:top w:val="single" w:color="auto" w:sz="6" w:space="0"/>
              <w:left w:val="single" w:color="auto" w:sz="6" w:space="0"/>
              <w:bottom w:val="single" w:color="auto" w:sz="6" w:space="0"/>
              <w:right w:val="single" w:color="auto" w:sz="6" w:space="0"/>
            </w:tcBorders>
          </w:tcPr>
          <w:p w14:paraId="5EB9B32A">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 xml:space="preserve">    能说出我国会计法规体系，理解会计法、企业会计准则、会计制度的基本内容，能读懂会计法等相关会计法规；具备掌握会计上岗证考核的会计法规知识要求。   </w:t>
            </w:r>
          </w:p>
        </w:tc>
      </w:tr>
      <w:tr w14:paraId="27914CA2">
        <w:tblPrEx>
          <w:tblCellMar>
            <w:top w:w="0" w:type="dxa"/>
            <w:left w:w="108" w:type="dxa"/>
            <w:bottom w:w="0" w:type="dxa"/>
            <w:right w:w="108" w:type="dxa"/>
          </w:tblCellMar>
        </w:tblPrEx>
        <w:trPr>
          <w:trHeight w:val="501" w:hRule="atLeast"/>
        </w:trPr>
        <w:tc>
          <w:tcPr>
            <w:tcW w:w="1226" w:type="dxa"/>
            <w:tcBorders>
              <w:top w:val="single" w:color="auto" w:sz="6" w:space="0"/>
              <w:left w:val="single" w:color="auto" w:sz="6" w:space="0"/>
              <w:bottom w:val="single" w:color="auto" w:sz="6" w:space="0"/>
              <w:right w:val="single" w:color="auto" w:sz="6" w:space="0"/>
            </w:tcBorders>
            <w:vAlign w:val="center"/>
          </w:tcPr>
          <w:p w14:paraId="18F3AC8E">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相关知识</w:t>
            </w:r>
          </w:p>
        </w:tc>
        <w:tc>
          <w:tcPr>
            <w:tcW w:w="7774" w:type="dxa"/>
            <w:tcBorders>
              <w:top w:val="single" w:color="auto" w:sz="6" w:space="0"/>
              <w:left w:val="single" w:color="auto" w:sz="6" w:space="0"/>
              <w:bottom w:val="single" w:color="auto" w:sz="6" w:space="0"/>
              <w:right w:val="single" w:color="auto" w:sz="6" w:space="0"/>
            </w:tcBorders>
          </w:tcPr>
          <w:p w14:paraId="7DD60507">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 xml:space="preserve">我国会计法规体系的构成；会计法介绍；会计准则介绍；会计制度体系介绍； </w:t>
            </w:r>
          </w:p>
        </w:tc>
      </w:tr>
      <w:tr w14:paraId="65D42277">
        <w:tblPrEx>
          <w:tblCellMar>
            <w:top w:w="0" w:type="dxa"/>
            <w:left w:w="108" w:type="dxa"/>
            <w:bottom w:w="0" w:type="dxa"/>
            <w:right w:w="108" w:type="dxa"/>
          </w:tblCellMar>
        </w:tblPrEx>
        <w:trPr>
          <w:trHeight w:val="397" w:hRule="atLeast"/>
        </w:trPr>
        <w:tc>
          <w:tcPr>
            <w:tcW w:w="1226" w:type="dxa"/>
            <w:tcBorders>
              <w:top w:val="single" w:color="auto" w:sz="6" w:space="0"/>
              <w:left w:val="single" w:color="auto" w:sz="6" w:space="0"/>
              <w:bottom w:val="single" w:color="auto" w:sz="6" w:space="0"/>
              <w:right w:val="single" w:color="auto" w:sz="6" w:space="0"/>
            </w:tcBorders>
            <w:vAlign w:val="center"/>
          </w:tcPr>
          <w:p w14:paraId="266F2BB8">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相关实践</w:t>
            </w:r>
          </w:p>
        </w:tc>
        <w:tc>
          <w:tcPr>
            <w:tcW w:w="7774" w:type="dxa"/>
            <w:tcBorders>
              <w:top w:val="single" w:color="auto" w:sz="6" w:space="0"/>
              <w:left w:val="single" w:color="auto" w:sz="6" w:space="0"/>
              <w:bottom w:val="single" w:color="auto" w:sz="6" w:space="0"/>
              <w:right w:val="single" w:color="auto" w:sz="6" w:space="0"/>
            </w:tcBorders>
          </w:tcPr>
          <w:p w14:paraId="49CE49E0">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 xml:space="preserve">    会计从业资格考核要求引导。   </w:t>
            </w:r>
          </w:p>
        </w:tc>
      </w:tr>
      <w:tr w14:paraId="59263016">
        <w:tblPrEx>
          <w:tblCellMar>
            <w:top w:w="0" w:type="dxa"/>
            <w:left w:w="108" w:type="dxa"/>
            <w:bottom w:w="0" w:type="dxa"/>
            <w:right w:w="108" w:type="dxa"/>
          </w:tblCellMar>
        </w:tblPrEx>
        <w:trPr>
          <w:trHeight w:val="289" w:hRule="atLeast"/>
        </w:trPr>
        <w:tc>
          <w:tcPr>
            <w:tcW w:w="1226" w:type="dxa"/>
            <w:tcBorders>
              <w:top w:val="single" w:color="auto" w:sz="6" w:space="0"/>
              <w:left w:val="single" w:color="auto" w:sz="6" w:space="0"/>
              <w:bottom w:val="single" w:color="auto" w:sz="6" w:space="0"/>
              <w:right w:val="single" w:color="auto" w:sz="6" w:space="0"/>
            </w:tcBorders>
            <w:vAlign w:val="center"/>
          </w:tcPr>
          <w:p w14:paraId="411FA2D3">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扩展知识</w:t>
            </w:r>
          </w:p>
        </w:tc>
        <w:tc>
          <w:tcPr>
            <w:tcW w:w="7774" w:type="dxa"/>
            <w:tcBorders>
              <w:top w:val="single" w:color="auto" w:sz="6" w:space="0"/>
              <w:left w:val="single" w:color="auto" w:sz="6" w:space="0"/>
              <w:bottom w:val="single" w:color="auto" w:sz="6" w:space="0"/>
              <w:right w:val="single" w:color="auto" w:sz="6" w:space="0"/>
            </w:tcBorders>
          </w:tcPr>
          <w:p w14:paraId="7FC1F2EA">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 xml:space="preserve">    会计法、小规模企业会计制、会计基础工作规范等。</w:t>
            </w:r>
          </w:p>
        </w:tc>
      </w:tr>
      <w:tr w14:paraId="47E18520">
        <w:tblPrEx>
          <w:tblCellMar>
            <w:top w:w="0" w:type="dxa"/>
            <w:left w:w="108" w:type="dxa"/>
            <w:bottom w:w="0" w:type="dxa"/>
            <w:right w:w="108" w:type="dxa"/>
          </w:tblCellMar>
        </w:tblPrEx>
        <w:trPr>
          <w:trHeight w:val="351" w:hRule="atLeast"/>
        </w:trPr>
        <w:tc>
          <w:tcPr>
            <w:tcW w:w="1226" w:type="dxa"/>
            <w:tcBorders>
              <w:top w:val="single" w:color="auto" w:sz="6" w:space="0"/>
              <w:left w:val="single" w:color="auto" w:sz="6" w:space="0"/>
              <w:bottom w:val="single" w:color="auto" w:sz="6" w:space="0"/>
              <w:right w:val="single" w:color="auto" w:sz="6" w:space="0"/>
            </w:tcBorders>
            <w:vAlign w:val="center"/>
          </w:tcPr>
          <w:p w14:paraId="5A3FD65B">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考核建议</w:t>
            </w:r>
          </w:p>
        </w:tc>
        <w:tc>
          <w:tcPr>
            <w:tcW w:w="7774" w:type="dxa"/>
            <w:tcBorders>
              <w:top w:val="single" w:color="auto" w:sz="6" w:space="0"/>
              <w:left w:val="single" w:color="auto" w:sz="6" w:space="0"/>
              <w:bottom w:val="single" w:color="auto" w:sz="6" w:space="0"/>
              <w:right w:val="single" w:color="auto" w:sz="6" w:space="0"/>
            </w:tcBorders>
          </w:tcPr>
          <w:p w14:paraId="378C98A6">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 xml:space="preserve">    知识点测试。</w:t>
            </w:r>
          </w:p>
        </w:tc>
      </w:tr>
    </w:tbl>
    <w:p w14:paraId="4D865531">
      <w:pPr>
        <w:autoSpaceDE w:val="0"/>
        <w:autoSpaceDN w:val="0"/>
        <w:adjustRightInd w:val="0"/>
        <w:snapToGrid w:val="0"/>
        <w:spacing w:line="580" w:lineRule="exact"/>
        <w:rPr>
          <w:rFonts w:ascii="黑体" w:hAnsi="黑体" w:eastAsia="黑体"/>
          <w:sz w:val="32"/>
          <w:szCs w:val="32"/>
        </w:rPr>
      </w:pPr>
    </w:p>
    <w:p w14:paraId="6D9AD681">
      <w:pPr>
        <w:autoSpaceDE w:val="0"/>
        <w:autoSpaceDN w:val="0"/>
        <w:adjustRightInd w:val="0"/>
        <w:snapToGrid w:val="0"/>
        <w:spacing w:line="580" w:lineRule="exact"/>
        <w:rPr>
          <w:rFonts w:ascii="黑体" w:hAnsi="黑体" w:eastAsia="黑体"/>
          <w:sz w:val="32"/>
          <w:szCs w:val="32"/>
        </w:rPr>
      </w:pPr>
      <w:r>
        <w:rPr>
          <w:rFonts w:hint="eastAsia" w:ascii="黑体" w:hAnsi="黑体" w:eastAsia="黑体"/>
          <w:sz w:val="32"/>
          <w:szCs w:val="32"/>
        </w:rPr>
        <w:t>四、课程实施建议</w:t>
      </w:r>
    </w:p>
    <w:p w14:paraId="04934175">
      <w:pPr>
        <w:pStyle w:val="31"/>
      </w:pPr>
      <w:r>
        <w:t>(一)教材编写</w:t>
      </w:r>
    </w:p>
    <w:p w14:paraId="2C8493B7">
      <w:pPr>
        <w:pStyle w:val="34"/>
      </w:pPr>
      <w:r>
        <w:rPr>
          <w:rFonts w:hint="eastAsia"/>
        </w:rPr>
        <w:t>1、教材编写思路：以知识和技能实训融合为切入点，以认知和能为训练为核心，以构建知识体系和能力训练体系为主线，以体现时代性、立体性和动态性为要求、达到以学生为主体、有所创新、有所特色、适应高职教学的开发目标。力求符合高等职业教育的特点和要求，明确知识教学体系和能力教学训练体系。重构基础、反映前沿、突出重点，使教材具有可读性、趣味性、实践性、层次性。</w:t>
      </w:r>
    </w:p>
    <w:p w14:paraId="2391D988">
      <w:pPr>
        <w:pStyle w:val="34"/>
      </w:pPr>
      <w:r>
        <w:rPr>
          <w:rFonts w:hint="eastAsia"/>
        </w:rPr>
        <w:t>2、教材呈现文本格式要图文并茂，文本表述由学习目标、学习提示、正文知识，扩展知识、理论链接、案例资料、实训资料等组成。</w:t>
      </w:r>
    </w:p>
    <w:p w14:paraId="4A137D8C">
      <w:pPr>
        <w:pStyle w:val="31"/>
      </w:pPr>
      <w:r>
        <w:t xml:space="preserve">(二)教学方法与评价 </w:t>
      </w:r>
    </w:p>
    <w:p w14:paraId="23A92290">
      <w:pPr>
        <w:pStyle w:val="34"/>
      </w:pPr>
      <w:r>
        <w:rPr>
          <w:rFonts w:hint="eastAsia"/>
        </w:rPr>
        <w:t xml:space="preserve">   1、教学方法按照模块教学要求，采用理论实践一体化教学模式，充分运用多媒体、实践场地等教学手段。</w:t>
      </w:r>
    </w:p>
    <w:p w14:paraId="2909A2B9">
      <w:pPr>
        <w:pStyle w:val="34"/>
      </w:pPr>
      <w:r>
        <w:rPr>
          <w:rFonts w:hint="eastAsia"/>
          <w:sz w:val="28"/>
          <w:szCs w:val="28"/>
        </w:rPr>
        <w:t xml:space="preserve">  </w:t>
      </w:r>
      <w:r>
        <w:rPr>
          <w:rFonts w:hint="eastAsia"/>
        </w:rPr>
        <w:t xml:space="preserve"> 2、教学评价采取模块评价和和目标评价相结合，知识考核和实训考核相结合，平时考核和综合考核相结合。 </w:t>
      </w:r>
    </w:p>
    <w:p w14:paraId="69CB11D5">
      <w:pPr>
        <w:pStyle w:val="34"/>
      </w:pPr>
      <w:r>
        <w:rPr>
          <w:rFonts w:hint="eastAsia"/>
        </w:rPr>
        <w:t xml:space="preserve">   3 、鼓励学生参加会计从业资格考核。</w:t>
      </w:r>
    </w:p>
    <w:p w14:paraId="5ACE8466">
      <w:pPr>
        <w:pStyle w:val="31"/>
      </w:pPr>
      <w:r>
        <w:t xml:space="preserve"> (三)资源准备</w:t>
      </w:r>
    </w:p>
    <w:p w14:paraId="4D414CEE">
      <w:pPr>
        <w:pStyle w:val="34"/>
      </w:pPr>
      <w:r>
        <w:rPr>
          <w:rFonts w:hint="eastAsia"/>
        </w:rPr>
        <w:t xml:space="preserve">  本课程实施需要下列资源：    </w:t>
      </w:r>
    </w:p>
    <w:p w14:paraId="680300BA">
      <w:pPr>
        <w:pStyle w:val="34"/>
      </w:pPr>
      <w:r>
        <w:rPr>
          <w:rFonts w:hint="eastAsia"/>
          <w:sz w:val="28"/>
          <w:szCs w:val="28"/>
        </w:rPr>
        <w:t xml:space="preserve">  </w:t>
      </w:r>
      <w:r>
        <w:rPr>
          <w:rFonts w:hint="eastAsia"/>
        </w:rPr>
        <w:t xml:space="preserve"> 1、原始凭证样式、记账凭证、账簿纸、报表、印鉴等。</w:t>
      </w:r>
    </w:p>
    <w:p w14:paraId="597EAA33">
      <w:pPr>
        <w:pStyle w:val="34"/>
      </w:pPr>
      <w:r>
        <w:rPr>
          <w:rFonts w:hint="eastAsia"/>
        </w:rPr>
        <w:t xml:space="preserve">   2、开发教师指导书、网络资源等。</w:t>
      </w:r>
    </w:p>
    <w:p w14:paraId="6B7BFB3C">
      <w:pPr>
        <w:pStyle w:val="34"/>
      </w:pPr>
      <w:r>
        <w:rPr>
          <w:rFonts w:hint="eastAsia"/>
        </w:rPr>
        <w:t xml:space="preserve">   3、建立较为先进的会计模拟实训中心，货币票据陈列室等。</w:t>
      </w:r>
    </w:p>
    <w:p w14:paraId="266D3716">
      <w:pPr>
        <w:pStyle w:val="34"/>
      </w:pPr>
      <w:r>
        <w:rPr>
          <w:rFonts w:hint="eastAsia"/>
        </w:rPr>
        <w:t xml:space="preserve">   4、要选择部分企事业建立一批稳定的校外实训基地。</w:t>
      </w:r>
    </w:p>
    <w:p w14:paraId="75D440B7">
      <w:pPr>
        <w:autoSpaceDE w:val="0"/>
        <w:autoSpaceDN w:val="0"/>
        <w:adjustRightInd w:val="0"/>
        <w:snapToGrid w:val="0"/>
        <w:spacing w:line="580" w:lineRule="exact"/>
        <w:rPr>
          <w:rFonts w:ascii="黑体" w:hAnsi="黑体" w:eastAsia="黑体"/>
          <w:sz w:val="32"/>
          <w:szCs w:val="32"/>
        </w:rPr>
      </w:pPr>
      <w:r>
        <w:rPr>
          <w:rFonts w:hint="eastAsia" w:ascii="黑体" w:hAnsi="黑体" w:eastAsia="黑体"/>
          <w:sz w:val="32"/>
          <w:szCs w:val="32"/>
        </w:rPr>
        <w:t>五、其他说明</w:t>
      </w:r>
    </w:p>
    <w:p w14:paraId="46CA1186">
      <w:pPr>
        <w:widowControl/>
        <w:jc w:val="left"/>
        <w:rPr>
          <w:rFonts w:ascii="黑体" w:eastAsia="黑体"/>
          <w:bCs/>
          <w:sz w:val="44"/>
          <w:szCs w:val="44"/>
        </w:rPr>
      </w:pPr>
      <w:r>
        <w:rPr>
          <w:rFonts w:ascii="黑体" w:eastAsia="黑体"/>
          <w:bCs/>
          <w:sz w:val="44"/>
          <w:szCs w:val="44"/>
        </w:rPr>
        <w:br w:type="page"/>
      </w:r>
    </w:p>
    <w:p w14:paraId="5A025BCC">
      <w:pPr>
        <w:spacing w:line="580" w:lineRule="exact"/>
        <w:jc w:val="center"/>
        <w:rPr>
          <w:rFonts w:hint="eastAsia" w:ascii="方正小标宋简体" w:eastAsia="方正小标宋简体"/>
          <w:bCs/>
          <w:sz w:val="32"/>
          <w:szCs w:val="32"/>
        </w:rPr>
      </w:pPr>
      <w:r>
        <w:rPr>
          <w:rFonts w:hint="eastAsia" w:ascii="方正小标宋简体" w:eastAsia="方正小标宋简体"/>
          <w:bCs/>
          <w:sz w:val="32"/>
          <w:szCs w:val="32"/>
        </w:rPr>
        <w:t>《财经法规与会计职业道德》课程标准</w:t>
      </w:r>
    </w:p>
    <w:p w14:paraId="60589864">
      <w:pPr>
        <w:autoSpaceDE w:val="0"/>
        <w:autoSpaceDN w:val="0"/>
        <w:adjustRightInd w:val="0"/>
        <w:snapToGrid w:val="0"/>
        <w:spacing w:line="580" w:lineRule="exact"/>
        <w:rPr>
          <w:rFonts w:ascii="黑体" w:hAnsi="黑体" w:eastAsia="黑体"/>
          <w:sz w:val="32"/>
          <w:szCs w:val="32"/>
        </w:rPr>
      </w:pPr>
      <w:r>
        <w:rPr>
          <w:rFonts w:hint="eastAsia" w:ascii="黑体" w:hAnsi="黑体" w:eastAsia="黑体"/>
          <w:sz w:val="32"/>
          <w:szCs w:val="32"/>
        </w:rPr>
        <w:t>一、概述</w:t>
      </w:r>
    </w:p>
    <w:p w14:paraId="18E673C1">
      <w:pPr>
        <w:pStyle w:val="31"/>
      </w:pPr>
      <w:r>
        <w:t>（一）课程性质：</w:t>
      </w:r>
    </w:p>
    <w:p w14:paraId="137A1ECD">
      <w:pPr>
        <w:pStyle w:val="34"/>
      </w:pPr>
      <w:r>
        <w:rPr>
          <w:rFonts w:hint="eastAsia"/>
        </w:rPr>
        <w:t>财经法规与会计职业道德是会计专业学生三年制高等职业教育的专业必修课。是为帮助学生参加会计从业人员资格考试取得会计从业人员资格证书而开设的。</w:t>
      </w:r>
    </w:p>
    <w:p w14:paraId="6914FD4B">
      <w:pPr>
        <w:pStyle w:val="34"/>
        <w:rPr>
          <w:sz w:val="28"/>
          <w:szCs w:val="28"/>
        </w:rPr>
      </w:pPr>
      <w:r>
        <w:rPr>
          <w:rFonts w:hint="eastAsia"/>
        </w:rPr>
        <w:t>通过本课程的学习，熟悉会课程。该课程是培养学生掌握会计岗位知识能力的重要理论教学环节。 财经法规与会计职业道德是高等职业教育财经学院的一门专业必修基础课程。通过本课程的学习和训练，主要使学生具备利用会计法规的理论知识，较快地将理论联系实际，适应社会的需要。促进学生职业能力和职业素养的培养。按照课程服务于专业的原则，以及职业岗位能力和职业素养培养的要求，通过课程的学习和训练，使学生具备以下的知识、技能和素养。</w:t>
      </w:r>
    </w:p>
    <w:p w14:paraId="2350FA98">
      <w:pPr>
        <w:pStyle w:val="34"/>
      </w:pPr>
      <w:r>
        <w:rPr>
          <w:rFonts w:hint="eastAsia"/>
        </w:rPr>
        <w:t>（二）课程目标</w:t>
      </w:r>
    </w:p>
    <w:p w14:paraId="67D9D5F9">
      <w:pPr>
        <w:pStyle w:val="34"/>
      </w:pPr>
      <w:r>
        <w:rPr>
          <w:rFonts w:hint="eastAsia"/>
        </w:rPr>
        <w:t>计核算原理，能应用借贷记账法核算企业简单经济业务，知道资产负债表和利润表的作用和结构内容，达到会计从来人员的相关要求，养成诚实守信，严谨细致、认真求实的工作作风。在此基础上开成以下能力目标。</w:t>
      </w:r>
    </w:p>
    <w:p w14:paraId="749A3E20">
      <w:pPr>
        <w:pStyle w:val="34"/>
      </w:pPr>
      <w:r>
        <w:rPr>
          <w:rFonts w:hint="eastAsia"/>
        </w:rPr>
        <w:t>能力目标</w:t>
      </w:r>
    </w:p>
    <w:p w14:paraId="667F45D0">
      <w:pPr>
        <w:pStyle w:val="34"/>
      </w:pPr>
      <w:r>
        <w:rPr>
          <w:rFonts w:hint="eastAsia"/>
        </w:rPr>
        <w:t>1.掌握会计法规体系及会计法主要规定，明辨违反财经法规的行为与责任后果。　　</w:t>
      </w:r>
    </w:p>
    <w:p w14:paraId="11C5B078">
      <w:pPr>
        <w:pStyle w:val="34"/>
      </w:pPr>
      <w:r>
        <w:rPr>
          <w:rFonts w:hint="eastAsia"/>
        </w:rPr>
        <w:t>2.熟悉的支付结算方式，规范使用不同的支付结算方式。　　</w:t>
      </w:r>
    </w:p>
    <w:p w14:paraId="109B00DB">
      <w:pPr>
        <w:pStyle w:val="34"/>
      </w:pPr>
      <w:r>
        <w:rPr>
          <w:rFonts w:hint="eastAsia"/>
        </w:rPr>
        <w:t>3.掌握会计职业道德的内涵，明辨违反税收征管的行为及责任后果。　　</w:t>
      </w:r>
    </w:p>
    <w:p w14:paraId="42365CAB">
      <w:pPr>
        <w:pStyle w:val="34"/>
      </w:pPr>
      <w:r>
        <w:rPr>
          <w:rFonts w:hint="eastAsia"/>
        </w:rPr>
        <w:t>4.掌握会计职业道德的内涵，明辩违背职业道德的财经行为。</w:t>
      </w:r>
    </w:p>
    <w:p w14:paraId="05240540">
      <w:pPr>
        <w:pStyle w:val="34"/>
      </w:pPr>
      <w:r>
        <w:rPr>
          <w:rFonts w:hint="eastAsia"/>
        </w:rPr>
        <w:t>知识目标</w:t>
      </w:r>
    </w:p>
    <w:p w14:paraId="7953D955">
      <w:pPr>
        <w:pStyle w:val="34"/>
      </w:pPr>
      <w:r>
        <w:rPr>
          <w:rFonts w:hint="eastAsia"/>
        </w:rPr>
        <w:t>1.掌握会计法规体系及会计法主要规定。　　</w:t>
      </w:r>
    </w:p>
    <w:p w14:paraId="6A00835E">
      <w:pPr>
        <w:pStyle w:val="34"/>
      </w:pPr>
      <w:r>
        <w:rPr>
          <w:rFonts w:hint="eastAsia"/>
        </w:rPr>
        <w:t>2.掌握支付结算的主要规定。　　</w:t>
      </w:r>
    </w:p>
    <w:p w14:paraId="5EAAB841">
      <w:pPr>
        <w:pStyle w:val="34"/>
      </w:pPr>
      <w:r>
        <w:rPr>
          <w:rFonts w:hint="eastAsia"/>
        </w:rPr>
        <w:t>3.掌握税收征收管理法的主要规定。　　</w:t>
      </w:r>
    </w:p>
    <w:p w14:paraId="768AB53E">
      <w:pPr>
        <w:pStyle w:val="34"/>
      </w:pPr>
      <w:r>
        <w:rPr>
          <w:rFonts w:hint="eastAsia"/>
        </w:rPr>
        <w:t>4.掌握会计职业道德的内涵。</w:t>
      </w:r>
    </w:p>
    <w:p w14:paraId="4DDD598F">
      <w:pPr>
        <w:pStyle w:val="34"/>
      </w:pPr>
      <w:r>
        <w:rPr>
          <w:rFonts w:hint="eastAsia"/>
        </w:rPr>
        <w:t>素质目标</w:t>
      </w:r>
    </w:p>
    <w:p w14:paraId="4712540C">
      <w:pPr>
        <w:pStyle w:val="34"/>
      </w:pPr>
      <w:r>
        <w:rPr>
          <w:rFonts w:hint="eastAsia"/>
        </w:rPr>
        <w:t>1、 严守秘密，明辨是非；</w:t>
      </w:r>
    </w:p>
    <w:p w14:paraId="61422F19">
      <w:pPr>
        <w:pStyle w:val="34"/>
      </w:pPr>
      <w:r>
        <w:rPr>
          <w:rFonts w:hint="eastAsia"/>
        </w:rPr>
        <w:t>2、 严守准则，不做假账；</w:t>
      </w:r>
    </w:p>
    <w:p w14:paraId="1C0CF680">
      <w:pPr>
        <w:pStyle w:val="34"/>
      </w:pPr>
      <w:r>
        <w:rPr>
          <w:rFonts w:hint="eastAsia"/>
        </w:rPr>
        <w:t>3、 严格遵守纪律，不抄袭作业；</w:t>
      </w:r>
    </w:p>
    <w:p w14:paraId="617BA9B9">
      <w:pPr>
        <w:pStyle w:val="34"/>
      </w:pPr>
      <w:r>
        <w:rPr>
          <w:rFonts w:hint="eastAsia"/>
        </w:rPr>
        <w:t>4、 养成凭事实说话，小心谨慎的工作作风。</w:t>
      </w:r>
    </w:p>
    <w:p w14:paraId="2BD603AC">
      <w:pPr>
        <w:autoSpaceDE w:val="0"/>
        <w:autoSpaceDN w:val="0"/>
        <w:adjustRightInd w:val="0"/>
        <w:snapToGrid w:val="0"/>
        <w:spacing w:line="580" w:lineRule="exact"/>
        <w:rPr>
          <w:rFonts w:ascii="黑体" w:hAnsi="黑体" w:eastAsia="黑体"/>
          <w:sz w:val="32"/>
          <w:szCs w:val="32"/>
        </w:rPr>
      </w:pPr>
      <w:r>
        <w:rPr>
          <w:rFonts w:hint="eastAsia" w:ascii="黑体" w:hAnsi="黑体" w:eastAsia="黑体"/>
          <w:sz w:val="32"/>
          <w:szCs w:val="32"/>
        </w:rPr>
        <w:t>二、职业活动 </w:t>
      </w:r>
    </w:p>
    <w:p w14:paraId="100154EC">
      <w:pPr>
        <w:pStyle w:val="34"/>
      </w:pPr>
      <w:r>
        <w:rPr>
          <w:rFonts w:hint="eastAsia"/>
        </w:rPr>
        <w:t xml:space="preserve">1.职业活动  </w:t>
      </w:r>
    </w:p>
    <w:p w14:paraId="10335039">
      <w:pPr>
        <w:pStyle w:val="34"/>
      </w:pPr>
      <w:r>
        <w:rPr>
          <w:rFonts w:hint="eastAsia"/>
        </w:rPr>
        <w:t>职业活动是人们从事会计职业活动必须具备的，影响职业活动效率的个人心理特征。会计职业活动是由多种能力叠加并复合而成的，它是人们从事会计职业必须具备的多种能力的总和，是择业的基本参照和就业的基本条件，也是胜任职业岗位工作的基本要求。</w:t>
      </w:r>
    </w:p>
    <w:p w14:paraId="38360DD6">
      <w:pPr>
        <w:pStyle w:val="34"/>
      </w:pPr>
      <w:r>
        <w:rPr>
          <w:rFonts w:hint="eastAsia"/>
        </w:rPr>
        <w:t xml:space="preserve">2.职业活动与课程内容对应关系  </w:t>
      </w:r>
    </w:p>
    <w:p w14:paraId="712145C9">
      <w:pPr>
        <w:pStyle w:val="34"/>
      </w:pPr>
      <w:r>
        <w:rPr>
          <w:rFonts w:hint="eastAsia"/>
          <w:sz w:val="28"/>
          <w:szCs w:val="28"/>
        </w:rPr>
        <w:t> </w:t>
      </w:r>
      <w:r>
        <w:rPr>
          <w:rFonts w:hint="eastAsia"/>
        </w:rPr>
        <w:t>(１)爱岗敬业的精神，戒懒、戒惰、戒拖；热爱会计工作，敬重社会职业；安心工作，任劳任怨；严肃认真，一丝不苟；忠于职守，尽职尽责，切实对单位、对社会公众、对国家负责。  </w:t>
      </w:r>
    </w:p>
    <w:p w14:paraId="4939DB28">
      <w:pPr>
        <w:pStyle w:val="34"/>
      </w:pPr>
      <w:r>
        <w:rPr>
          <w:rFonts w:hint="eastAsia"/>
        </w:rPr>
        <w:t>诚实守信。要求会计人员做老实人，说老实话，办老实事，不搞虚假；保守秘密，不为利益所诱惑。  </w:t>
      </w:r>
    </w:p>
    <w:p w14:paraId="71EEF9D3">
      <w:pPr>
        <w:pStyle w:val="34"/>
      </w:pPr>
      <w:r>
        <w:rPr>
          <w:rFonts w:hint="eastAsia"/>
        </w:rPr>
        <w:t>廉洁自律。要求会计人员树立正确的人生观和价值观，自觉抵制享乐主义、个人主义、拜金主义；公私分明、不贪不占；遵纪守法、清正廉洁，自觉抵制行业不正之风。  </w:t>
      </w:r>
    </w:p>
    <w:p w14:paraId="21909AEC">
      <w:pPr>
        <w:pStyle w:val="34"/>
        <w:rPr>
          <w:sz w:val="28"/>
          <w:szCs w:val="28"/>
        </w:rPr>
      </w:pPr>
      <w:r>
        <w:rPr>
          <w:rFonts w:hint="eastAsia"/>
        </w:rPr>
        <w:t>客观公正。要求会计人员端正态度，依法办事，实事求是，不偏不倚，保持应有的独立性。</w:t>
      </w:r>
      <w:r>
        <w:rPr>
          <w:rFonts w:hint="eastAsia"/>
          <w:sz w:val="28"/>
          <w:szCs w:val="28"/>
        </w:rPr>
        <w:t>  </w:t>
      </w:r>
    </w:p>
    <w:p w14:paraId="4666BE3E">
      <w:pPr>
        <w:pStyle w:val="34"/>
      </w:pPr>
      <w:r>
        <w:rPr>
          <w:rFonts w:hint="eastAsia"/>
        </w:rPr>
        <w:t>坚持准则。要求会计人员熟悉国家法律、法规和国家统一的会计制度，始终坚持按法律、法规和国家统一的会计制度的要求，进行会计核算，实施会计监督。  </w:t>
      </w:r>
    </w:p>
    <w:p w14:paraId="10C86D0E">
      <w:pPr>
        <w:pStyle w:val="34"/>
      </w:pPr>
      <w:r>
        <w:rPr>
          <w:rFonts w:hint="eastAsia"/>
        </w:rPr>
        <w:t>提高技能。要求会计人员增强提高专业技能的自觉性和紧迫感，勤学苦练，刻苦钻研；掌握科学的学习方法，向书本学、向社会学、向实际工作学，在学中思，在思中学，努力提高业务水平。 </w:t>
      </w:r>
    </w:p>
    <w:p w14:paraId="013EEDAF">
      <w:pPr>
        <w:pStyle w:val="34"/>
      </w:pPr>
      <w:r>
        <w:rPr>
          <w:rFonts w:hint="eastAsia"/>
        </w:rPr>
        <w:t>参与管理。要求会计人员在做好本职工作的同时，努力钻研相关业务，全面熟悉本单位经营活动和业务流程，主动提出合理化建议，协助领导决策，积极参与管理。  </w:t>
      </w:r>
    </w:p>
    <w:p w14:paraId="2B00B129">
      <w:pPr>
        <w:pStyle w:val="34"/>
      </w:pPr>
      <w:r>
        <w:rPr>
          <w:rFonts w:hint="eastAsia"/>
        </w:rPr>
        <w:t>强化服务。要求会计人员树立服务意识，摆正位置，文明服务；提高服务质量，努力维护和提升会计职业的良好社会形象。</w:t>
      </w:r>
    </w:p>
    <w:p w14:paraId="41AD73C4">
      <w:pPr>
        <w:pStyle w:val="34"/>
      </w:pPr>
      <w:r>
        <w:rPr>
          <w:rFonts w:hint="eastAsia"/>
        </w:rPr>
        <w:t>3.职业关键能力</w:t>
      </w:r>
    </w:p>
    <w:p w14:paraId="1A505E1F">
      <w:pPr>
        <w:pStyle w:val="34"/>
      </w:pPr>
      <w:r>
        <w:rPr>
          <w:rFonts w:hint="eastAsia"/>
        </w:rPr>
        <w:t>(1)掌握会计法规体系及会计法主要规定，明辨违反财经法规的行为与责任后果。  </w:t>
      </w:r>
    </w:p>
    <w:p w14:paraId="66DD47BE">
      <w:pPr>
        <w:pStyle w:val="34"/>
      </w:pPr>
      <w:r>
        <w:rPr>
          <w:rFonts w:hint="eastAsia"/>
        </w:rPr>
        <w:t xml:space="preserve">(2)熟悉的支付结算方式，规范使用不同的支付结算方式。    </w:t>
      </w:r>
    </w:p>
    <w:p w14:paraId="35E8A854">
      <w:pPr>
        <w:pStyle w:val="34"/>
      </w:pPr>
      <w:r>
        <w:rPr>
          <w:rFonts w:hint="eastAsia"/>
        </w:rPr>
        <w:t xml:space="preserve">(3)掌握会计职业道德的内涵，明辨违反税收征管的行为及责任后果。    </w:t>
      </w:r>
    </w:p>
    <w:p w14:paraId="2E4F3F9E">
      <w:pPr>
        <w:pStyle w:val="34"/>
      </w:pPr>
      <w:r>
        <w:rPr>
          <w:rFonts w:hint="eastAsia"/>
        </w:rPr>
        <w:t>(4)掌握会计职业道德的内涵，明辩违背职业道德的财经行为。</w:t>
      </w:r>
    </w:p>
    <w:p w14:paraId="446BCA9A">
      <w:pPr>
        <w:pStyle w:val="34"/>
      </w:pPr>
      <w:r>
        <w:rPr>
          <w:rFonts w:hint="eastAsia"/>
          <w:sz w:val="28"/>
          <w:szCs w:val="28"/>
        </w:rPr>
        <w:t xml:space="preserve"> </w:t>
      </w:r>
      <w:r>
        <w:rPr>
          <w:rFonts w:hint="eastAsia"/>
        </w:rPr>
        <w:t>4.职业专门能力 </w:t>
      </w:r>
    </w:p>
    <w:p w14:paraId="2715889B">
      <w:pPr>
        <w:pStyle w:val="34"/>
      </w:pPr>
      <w:r>
        <w:rPr>
          <w:rFonts w:hint="eastAsia"/>
        </w:rPr>
        <w:t>(1)掌握会计法规体系及会计法主要规定。  </w:t>
      </w:r>
    </w:p>
    <w:p w14:paraId="3607172E">
      <w:pPr>
        <w:pStyle w:val="34"/>
      </w:pPr>
      <w:r>
        <w:rPr>
          <w:rFonts w:hint="eastAsia"/>
        </w:rPr>
        <w:t>(2)掌握支付结算的主要规定。   </w:t>
      </w:r>
    </w:p>
    <w:p w14:paraId="58709F75">
      <w:pPr>
        <w:pStyle w:val="34"/>
      </w:pPr>
      <w:r>
        <w:rPr>
          <w:rFonts w:hint="eastAsia"/>
        </w:rPr>
        <w:t>(3)掌握税收征收管理法的主要规定。  </w:t>
      </w:r>
    </w:p>
    <w:p w14:paraId="4ED09766">
      <w:pPr>
        <w:pStyle w:val="34"/>
      </w:pPr>
      <w:r>
        <w:rPr>
          <w:rFonts w:hint="eastAsia"/>
        </w:rPr>
        <w:t>(4)掌握会计职业道德的内涵。</w:t>
      </w:r>
    </w:p>
    <w:p w14:paraId="07B86D90">
      <w:pPr>
        <w:pStyle w:val="34"/>
      </w:pPr>
      <w:r>
        <w:rPr>
          <w:rFonts w:hint="eastAsia"/>
        </w:rPr>
        <w:t>5.方法能力 </w:t>
      </w:r>
    </w:p>
    <w:p w14:paraId="4086A965">
      <w:pPr>
        <w:pStyle w:val="34"/>
      </w:pPr>
      <w:r>
        <w:rPr>
          <w:rFonts w:hint="eastAsia"/>
        </w:rPr>
        <w:t>(1)制定计划能力</w:t>
      </w:r>
    </w:p>
    <w:p w14:paraId="05D4AFDB">
      <w:pPr>
        <w:pStyle w:val="34"/>
      </w:pPr>
      <w:r>
        <w:rPr>
          <w:rFonts w:hint="eastAsia"/>
        </w:rPr>
        <w:t>(2)确定学习方法能力 </w:t>
      </w:r>
    </w:p>
    <w:p w14:paraId="3C3F74E6">
      <w:pPr>
        <w:pStyle w:val="34"/>
      </w:pPr>
      <w:r>
        <w:rPr>
          <w:rFonts w:hint="eastAsia"/>
        </w:rPr>
        <w:t>(3)自学能力 </w:t>
      </w:r>
    </w:p>
    <w:p w14:paraId="0027EE3C">
      <w:pPr>
        <w:pStyle w:val="34"/>
      </w:pPr>
      <w:r>
        <w:rPr>
          <w:rFonts w:hint="eastAsia"/>
        </w:rPr>
        <w:t>(4)查找资料能力</w:t>
      </w:r>
    </w:p>
    <w:p w14:paraId="6E112505">
      <w:pPr>
        <w:pStyle w:val="34"/>
      </w:pPr>
      <w:r>
        <w:rPr>
          <w:rFonts w:hint="eastAsia"/>
        </w:rPr>
        <w:t xml:space="preserve">6.社会能力  </w:t>
      </w:r>
    </w:p>
    <w:p w14:paraId="3ED23B28">
      <w:pPr>
        <w:pStyle w:val="34"/>
      </w:pPr>
      <w:r>
        <w:rPr>
          <w:rFonts w:hint="eastAsia"/>
        </w:rPr>
        <w:t>(1)严守秘密，明辨是非； </w:t>
      </w:r>
    </w:p>
    <w:p w14:paraId="71121FD3">
      <w:pPr>
        <w:pStyle w:val="34"/>
      </w:pPr>
      <w:r>
        <w:rPr>
          <w:rFonts w:hint="eastAsia"/>
        </w:rPr>
        <w:t>(2)严守准则，不做假账；</w:t>
      </w:r>
    </w:p>
    <w:p w14:paraId="63184036">
      <w:pPr>
        <w:pStyle w:val="34"/>
      </w:pPr>
      <w:r>
        <w:rPr>
          <w:rFonts w:hint="eastAsia"/>
        </w:rPr>
        <w:t>(3)严格遵守纪律，不抄袭作业； </w:t>
      </w:r>
    </w:p>
    <w:p w14:paraId="4C4F1E2E">
      <w:pPr>
        <w:pStyle w:val="34"/>
      </w:pPr>
      <w:r>
        <w:rPr>
          <w:rFonts w:hint="eastAsia"/>
        </w:rPr>
        <w:t>(4)养成凭事实说话，小心谨慎的工作作风</w:t>
      </w:r>
    </w:p>
    <w:p w14:paraId="16AE1FD0">
      <w:pPr>
        <w:pStyle w:val="34"/>
        <w:rPr>
          <w:rFonts w:ascii="黑体" w:hAnsi="黑体" w:eastAsia="黑体"/>
        </w:rPr>
      </w:pPr>
      <w:r>
        <w:rPr>
          <w:rFonts w:hint="eastAsia" w:ascii="黑体" w:hAnsi="黑体" w:eastAsia="黑体"/>
        </w:rPr>
        <w:t xml:space="preserve"> 三、教学设计思路</w:t>
      </w:r>
    </w:p>
    <w:p w14:paraId="1E7FC512">
      <w:pPr>
        <w:pStyle w:val="34"/>
      </w:pPr>
      <w:r>
        <w:rPr>
          <w:rFonts w:hint="eastAsia"/>
        </w:rPr>
        <w:t>《财经法规和会计职业道德》课程是中职会计专业的核心课程之一，是会计从业人员资格考试的必考科目之一。</w:t>
      </w:r>
    </w:p>
    <w:p w14:paraId="3FC53EBE">
      <w:pPr>
        <w:pStyle w:val="34"/>
      </w:pPr>
      <w:r>
        <w:rPr>
          <w:rFonts w:hint="eastAsia"/>
        </w:rPr>
        <w:t>本课程总体设计思路是通过本课程的学习，使学生掌握会计核算和监督的依据、手段和过程，了解对会计机构与人员的要求、会计从业人员从业资格管理和继续教育管理规定，掌握支付结算法规，税收征收管理的相关规定，会计职业道德的基本要求；强化学生在会计工作中依法处理经济业务，严格遵守会计准则与会计法规，养成良好的依法办事、依法经营的意识与习惯，为顺利走上会计工作岗位打下良好的基础。教学中以会计工作中常见的违法案例分析为主，引导学生领会会计法规的精神实质，自觉遵守会计法规，严守秘密，坚守准则，不做假账。</w:t>
      </w:r>
    </w:p>
    <w:p w14:paraId="35820165">
      <w:pPr>
        <w:autoSpaceDE w:val="0"/>
        <w:autoSpaceDN w:val="0"/>
        <w:adjustRightInd w:val="0"/>
        <w:snapToGrid w:val="0"/>
        <w:spacing w:line="580" w:lineRule="exact"/>
        <w:rPr>
          <w:rFonts w:ascii="黑体" w:hAnsi="黑体" w:eastAsia="黑体"/>
          <w:sz w:val="32"/>
          <w:szCs w:val="32"/>
        </w:rPr>
      </w:pPr>
      <w:r>
        <w:rPr>
          <w:rFonts w:hint="eastAsia" w:ascii="黑体" w:hAnsi="黑体" w:eastAsia="黑体"/>
          <w:sz w:val="32"/>
          <w:szCs w:val="32"/>
        </w:rPr>
        <w:t>四、内容要求</w:t>
      </w:r>
    </w:p>
    <w:tbl>
      <w:tblPr>
        <w:tblStyle w:val="16"/>
        <w:tblpPr w:leftFromText="180" w:rightFromText="180" w:vertAnchor="text" w:horzAnchor="page" w:tblpX="1770" w:tblpY="550"/>
        <w:tblOverlap w:val="never"/>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5127"/>
        <w:gridCol w:w="2652"/>
      </w:tblGrid>
      <w:tr w14:paraId="293A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521" w:type="dxa"/>
            <w:vAlign w:val="center"/>
          </w:tcPr>
          <w:p w14:paraId="60B4F3C8">
            <w:pPr>
              <w:autoSpaceDE w:val="0"/>
              <w:autoSpaceDN w:val="0"/>
              <w:adjustRightInd w:val="0"/>
              <w:snapToGrid w:val="0"/>
              <w:spacing w:line="580" w:lineRule="exact"/>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序号</w:t>
            </w:r>
          </w:p>
        </w:tc>
        <w:tc>
          <w:tcPr>
            <w:tcW w:w="5127" w:type="dxa"/>
            <w:vAlign w:val="center"/>
          </w:tcPr>
          <w:p w14:paraId="24A5E9F6">
            <w:pPr>
              <w:autoSpaceDE w:val="0"/>
              <w:autoSpaceDN w:val="0"/>
              <w:adjustRightInd w:val="0"/>
              <w:snapToGrid w:val="0"/>
              <w:spacing w:line="580" w:lineRule="exact"/>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模块</w:t>
            </w:r>
          </w:p>
        </w:tc>
        <w:tc>
          <w:tcPr>
            <w:tcW w:w="2652" w:type="dxa"/>
            <w:vAlign w:val="center"/>
          </w:tcPr>
          <w:p w14:paraId="37B36661">
            <w:pPr>
              <w:autoSpaceDE w:val="0"/>
              <w:autoSpaceDN w:val="0"/>
              <w:adjustRightInd w:val="0"/>
              <w:snapToGrid w:val="0"/>
              <w:spacing w:line="580" w:lineRule="exact"/>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学时</w:t>
            </w:r>
          </w:p>
        </w:tc>
      </w:tr>
      <w:tr w14:paraId="3574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521" w:type="dxa"/>
            <w:vAlign w:val="center"/>
          </w:tcPr>
          <w:p w14:paraId="1CB46921">
            <w:pPr>
              <w:autoSpaceDE w:val="0"/>
              <w:autoSpaceDN w:val="0"/>
              <w:adjustRightInd w:val="0"/>
              <w:snapToGrid w:val="0"/>
              <w:spacing w:line="580" w:lineRule="exact"/>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1</w:t>
            </w:r>
          </w:p>
        </w:tc>
        <w:tc>
          <w:tcPr>
            <w:tcW w:w="5127" w:type="dxa"/>
            <w:vAlign w:val="center"/>
          </w:tcPr>
          <w:p w14:paraId="31697E6D">
            <w:pPr>
              <w:autoSpaceDE w:val="0"/>
              <w:autoSpaceDN w:val="0"/>
              <w:adjustRightInd w:val="0"/>
              <w:snapToGrid w:val="0"/>
              <w:spacing w:line="580" w:lineRule="exact"/>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会计法律制度</w:t>
            </w:r>
          </w:p>
        </w:tc>
        <w:tc>
          <w:tcPr>
            <w:tcW w:w="2652" w:type="dxa"/>
            <w:vAlign w:val="center"/>
          </w:tcPr>
          <w:p w14:paraId="30F2CD87">
            <w:pPr>
              <w:autoSpaceDE w:val="0"/>
              <w:autoSpaceDN w:val="0"/>
              <w:adjustRightInd w:val="0"/>
              <w:snapToGrid w:val="0"/>
              <w:spacing w:line="580" w:lineRule="exact"/>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12</w:t>
            </w:r>
          </w:p>
        </w:tc>
      </w:tr>
      <w:tr w14:paraId="27DBB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521" w:type="dxa"/>
            <w:vAlign w:val="center"/>
          </w:tcPr>
          <w:p w14:paraId="243FD92B">
            <w:pPr>
              <w:autoSpaceDE w:val="0"/>
              <w:autoSpaceDN w:val="0"/>
              <w:adjustRightInd w:val="0"/>
              <w:snapToGrid w:val="0"/>
              <w:spacing w:line="580" w:lineRule="exact"/>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2</w:t>
            </w:r>
          </w:p>
        </w:tc>
        <w:tc>
          <w:tcPr>
            <w:tcW w:w="5127" w:type="dxa"/>
            <w:vAlign w:val="center"/>
          </w:tcPr>
          <w:p w14:paraId="190B200F">
            <w:pPr>
              <w:autoSpaceDE w:val="0"/>
              <w:autoSpaceDN w:val="0"/>
              <w:adjustRightInd w:val="0"/>
              <w:snapToGrid w:val="0"/>
              <w:spacing w:line="580" w:lineRule="exact"/>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支付结算法律制度</w:t>
            </w:r>
          </w:p>
        </w:tc>
        <w:tc>
          <w:tcPr>
            <w:tcW w:w="2652" w:type="dxa"/>
            <w:vAlign w:val="center"/>
          </w:tcPr>
          <w:p w14:paraId="13A7501D">
            <w:pPr>
              <w:autoSpaceDE w:val="0"/>
              <w:autoSpaceDN w:val="0"/>
              <w:adjustRightInd w:val="0"/>
              <w:snapToGrid w:val="0"/>
              <w:spacing w:line="580" w:lineRule="exact"/>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7</w:t>
            </w:r>
          </w:p>
        </w:tc>
      </w:tr>
      <w:tr w14:paraId="0F469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521" w:type="dxa"/>
            <w:vAlign w:val="center"/>
          </w:tcPr>
          <w:p w14:paraId="6A6F2F66">
            <w:pPr>
              <w:autoSpaceDE w:val="0"/>
              <w:autoSpaceDN w:val="0"/>
              <w:adjustRightInd w:val="0"/>
              <w:snapToGrid w:val="0"/>
              <w:spacing w:line="580" w:lineRule="exact"/>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3</w:t>
            </w:r>
          </w:p>
        </w:tc>
        <w:tc>
          <w:tcPr>
            <w:tcW w:w="5127" w:type="dxa"/>
            <w:vAlign w:val="center"/>
          </w:tcPr>
          <w:p w14:paraId="674C3EF0">
            <w:pPr>
              <w:autoSpaceDE w:val="0"/>
              <w:autoSpaceDN w:val="0"/>
              <w:adjustRightInd w:val="0"/>
              <w:snapToGrid w:val="0"/>
              <w:spacing w:line="580" w:lineRule="exact"/>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税收征收管理法律制度</w:t>
            </w:r>
          </w:p>
        </w:tc>
        <w:tc>
          <w:tcPr>
            <w:tcW w:w="2652" w:type="dxa"/>
            <w:vAlign w:val="center"/>
          </w:tcPr>
          <w:p w14:paraId="5E799F41">
            <w:pPr>
              <w:autoSpaceDE w:val="0"/>
              <w:autoSpaceDN w:val="0"/>
              <w:adjustRightInd w:val="0"/>
              <w:snapToGrid w:val="0"/>
              <w:spacing w:line="580" w:lineRule="exact"/>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7</w:t>
            </w:r>
          </w:p>
        </w:tc>
      </w:tr>
      <w:tr w14:paraId="11031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21" w:type="dxa"/>
            <w:vAlign w:val="center"/>
          </w:tcPr>
          <w:p w14:paraId="77F69384">
            <w:pPr>
              <w:autoSpaceDE w:val="0"/>
              <w:autoSpaceDN w:val="0"/>
              <w:adjustRightInd w:val="0"/>
              <w:snapToGrid w:val="0"/>
              <w:spacing w:line="580" w:lineRule="exact"/>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4</w:t>
            </w:r>
          </w:p>
        </w:tc>
        <w:tc>
          <w:tcPr>
            <w:tcW w:w="5127" w:type="dxa"/>
            <w:vAlign w:val="center"/>
          </w:tcPr>
          <w:p w14:paraId="1D605A4F">
            <w:pPr>
              <w:autoSpaceDE w:val="0"/>
              <w:autoSpaceDN w:val="0"/>
              <w:adjustRightInd w:val="0"/>
              <w:snapToGrid w:val="0"/>
              <w:spacing w:line="580" w:lineRule="exact"/>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会计职业道德</w:t>
            </w:r>
          </w:p>
        </w:tc>
        <w:tc>
          <w:tcPr>
            <w:tcW w:w="2652" w:type="dxa"/>
            <w:vAlign w:val="center"/>
          </w:tcPr>
          <w:p w14:paraId="2B229287">
            <w:pPr>
              <w:autoSpaceDE w:val="0"/>
              <w:autoSpaceDN w:val="0"/>
              <w:adjustRightInd w:val="0"/>
              <w:snapToGrid w:val="0"/>
              <w:spacing w:line="580" w:lineRule="exact"/>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8</w:t>
            </w:r>
          </w:p>
        </w:tc>
      </w:tr>
    </w:tbl>
    <w:p w14:paraId="4A91FB77">
      <w:pPr>
        <w:autoSpaceDE w:val="0"/>
        <w:autoSpaceDN w:val="0"/>
        <w:adjustRightInd w:val="0"/>
        <w:snapToGrid w:val="0"/>
        <w:spacing w:line="580" w:lineRule="exact"/>
        <w:rPr>
          <w:rFonts w:ascii="仿宋" w:hAnsi="仿宋" w:eastAsia="仿宋"/>
          <w:sz w:val="28"/>
          <w:szCs w:val="28"/>
        </w:rPr>
      </w:pPr>
    </w:p>
    <w:p w14:paraId="07B74866">
      <w:pPr>
        <w:widowControl/>
        <w:jc w:val="left"/>
        <w:rPr>
          <w:rFonts w:ascii="仿宋" w:hAnsi="仿宋" w:eastAsia="仿宋"/>
          <w:sz w:val="28"/>
          <w:szCs w:val="28"/>
        </w:rPr>
      </w:pPr>
      <w:r>
        <w:rPr>
          <w:rFonts w:ascii="仿宋" w:hAnsi="仿宋" w:eastAsia="仿宋"/>
          <w:sz w:val="28"/>
          <w:szCs w:val="28"/>
        </w:rPr>
        <w:br w:type="page"/>
      </w:r>
    </w:p>
    <w:p w14:paraId="32CD3D55">
      <w:pPr>
        <w:autoSpaceDE w:val="0"/>
        <w:autoSpaceDN w:val="0"/>
        <w:adjustRightInd w:val="0"/>
        <w:snapToGrid w:val="0"/>
        <w:spacing w:line="580" w:lineRule="exact"/>
        <w:rPr>
          <w:rFonts w:ascii="仿宋" w:hAnsi="仿宋" w:eastAsia="仿宋"/>
          <w:sz w:val="28"/>
          <w:szCs w:val="28"/>
        </w:rPr>
      </w:pPr>
    </w:p>
    <w:tbl>
      <w:tblPr>
        <w:tblStyle w:val="1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360"/>
        <w:gridCol w:w="3532"/>
        <w:gridCol w:w="2877"/>
        <w:gridCol w:w="721"/>
      </w:tblGrid>
      <w:tr w14:paraId="6CBB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vAlign w:val="center"/>
          </w:tcPr>
          <w:p w14:paraId="71826D9E">
            <w:pPr>
              <w:autoSpaceDE w:val="0"/>
              <w:autoSpaceDN w:val="0"/>
              <w:adjustRightInd w:val="0"/>
              <w:snapToGrid w:val="0"/>
              <w:spacing w:line="580" w:lineRule="exact"/>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序号</w:t>
            </w:r>
          </w:p>
        </w:tc>
        <w:tc>
          <w:tcPr>
            <w:tcW w:w="1360" w:type="dxa"/>
            <w:vAlign w:val="center"/>
          </w:tcPr>
          <w:p w14:paraId="1DDE50B7">
            <w:pPr>
              <w:autoSpaceDE w:val="0"/>
              <w:autoSpaceDN w:val="0"/>
              <w:adjustRightInd w:val="0"/>
              <w:snapToGrid w:val="0"/>
              <w:spacing w:line="580" w:lineRule="exact"/>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工作任务</w:t>
            </w:r>
          </w:p>
        </w:tc>
        <w:tc>
          <w:tcPr>
            <w:tcW w:w="3532" w:type="dxa"/>
            <w:vAlign w:val="center"/>
          </w:tcPr>
          <w:p w14:paraId="6F0196D6">
            <w:pPr>
              <w:autoSpaceDE w:val="0"/>
              <w:autoSpaceDN w:val="0"/>
              <w:adjustRightInd w:val="0"/>
              <w:snapToGrid w:val="0"/>
              <w:spacing w:line="580" w:lineRule="exact"/>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课程内容和教学要求</w:t>
            </w:r>
          </w:p>
        </w:tc>
        <w:tc>
          <w:tcPr>
            <w:tcW w:w="2877" w:type="dxa"/>
            <w:vAlign w:val="center"/>
          </w:tcPr>
          <w:p w14:paraId="12FE7D51">
            <w:pPr>
              <w:autoSpaceDE w:val="0"/>
              <w:autoSpaceDN w:val="0"/>
              <w:adjustRightInd w:val="0"/>
              <w:snapToGrid w:val="0"/>
              <w:spacing w:line="580" w:lineRule="exact"/>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活动设计</w:t>
            </w:r>
          </w:p>
        </w:tc>
        <w:tc>
          <w:tcPr>
            <w:tcW w:w="721" w:type="dxa"/>
            <w:vAlign w:val="center"/>
          </w:tcPr>
          <w:p w14:paraId="41D21DEB">
            <w:pPr>
              <w:autoSpaceDE w:val="0"/>
              <w:autoSpaceDN w:val="0"/>
              <w:adjustRightInd w:val="0"/>
              <w:snapToGrid w:val="0"/>
              <w:spacing w:line="580" w:lineRule="exact"/>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参考课时</w:t>
            </w:r>
          </w:p>
        </w:tc>
      </w:tr>
      <w:tr w14:paraId="6B8FB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14:paraId="21D18B9F">
            <w:pPr>
              <w:autoSpaceDE w:val="0"/>
              <w:autoSpaceDN w:val="0"/>
              <w:adjustRightInd w:val="0"/>
              <w:snapToGrid w:val="0"/>
              <w:spacing w:line="580" w:lineRule="exact"/>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1</w:t>
            </w:r>
          </w:p>
        </w:tc>
        <w:tc>
          <w:tcPr>
            <w:tcW w:w="1360" w:type="dxa"/>
            <w:vAlign w:val="center"/>
          </w:tcPr>
          <w:p w14:paraId="4DF17081">
            <w:pPr>
              <w:autoSpaceDE w:val="0"/>
              <w:autoSpaceDN w:val="0"/>
              <w:adjustRightInd w:val="0"/>
              <w:snapToGrid w:val="0"/>
              <w:spacing w:line="580" w:lineRule="exact"/>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会计法律制度</w:t>
            </w:r>
          </w:p>
        </w:tc>
        <w:tc>
          <w:tcPr>
            <w:tcW w:w="3532" w:type="dxa"/>
            <w:vAlign w:val="center"/>
          </w:tcPr>
          <w:p w14:paraId="7C3FB8B1">
            <w:pPr>
              <w:autoSpaceDE w:val="0"/>
              <w:autoSpaceDN w:val="0"/>
              <w:adjustRightInd w:val="0"/>
              <w:snapToGrid w:val="0"/>
              <w:spacing w:line="580" w:lineRule="exact"/>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要求学生掌握会计法概述、会计核算的法律规定、会计监督的法律规定、会计机构和会计人员的法律规定和违反会计法的法律责任等。理解会计法律体系的构成，了解会计工作管理体制，识别违反会计法的行为与责任后果。</w:t>
            </w:r>
          </w:p>
        </w:tc>
        <w:tc>
          <w:tcPr>
            <w:tcW w:w="2877" w:type="dxa"/>
            <w:vAlign w:val="center"/>
          </w:tcPr>
          <w:p w14:paraId="3E2AE1FB">
            <w:pPr>
              <w:autoSpaceDE w:val="0"/>
              <w:autoSpaceDN w:val="0"/>
              <w:adjustRightInd w:val="0"/>
              <w:snapToGrid w:val="0"/>
              <w:spacing w:line="580" w:lineRule="exact"/>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采用师生研讨式、学生辩论会、技能比赛等方式学习，通过典型案例及热点问题的讨论，鼓励学生提出不同的见解，在讨论中澄清模糊认识，巩固财经法规知识。</w:t>
            </w:r>
          </w:p>
        </w:tc>
        <w:tc>
          <w:tcPr>
            <w:tcW w:w="721" w:type="dxa"/>
            <w:vAlign w:val="center"/>
          </w:tcPr>
          <w:p w14:paraId="0BFDCC14">
            <w:pPr>
              <w:autoSpaceDE w:val="0"/>
              <w:autoSpaceDN w:val="0"/>
              <w:adjustRightInd w:val="0"/>
              <w:snapToGrid w:val="0"/>
              <w:spacing w:line="580" w:lineRule="exact"/>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12</w:t>
            </w:r>
          </w:p>
        </w:tc>
      </w:tr>
      <w:tr w14:paraId="74C68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14:paraId="33343AE3">
            <w:pPr>
              <w:autoSpaceDE w:val="0"/>
              <w:autoSpaceDN w:val="0"/>
              <w:adjustRightInd w:val="0"/>
              <w:snapToGrid w:val="0"/>
              <w:spacing w:line="580" w:lineRule="exact"/>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2</w:t>
            </w:r>
          </w:p>
        </w:tc>
        <w:tc>
          <w:tcPr>
            <w:tcW w:w="1360" w:type="dxa"/>
            <w:vAlign w:val="center"/>
          </w:tcPr>
          <w:p w14:paraId="4734AF50">
            <w:pPr>
              <w:autoSpaceDE w:val="0"/>
              <w:autoSpaceDN w:val="0"/>
              <w:adjustRightInd w:val="0"/>
              <w:snapToGrid w:val="0"/>
              <w:spacing w:line="580" w:lineRule="exact"/>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支付结算法律制度</w:t>
            </w:r>
          </w:p>
        </w:tc>
        <w:tc>
          <w:tcPr>
            <w:tcW w:w="3532" w:type="dxa"/>
            <w:vAlign w:val="center"/>
          </w:tcPr>
          <w:p w14:paraId="7CA571C4">
            <w:pPr>
              <w:autoSpaceDE w:val="0"/>
              <w:autoSpaceDN w:val="0"/>
              <w:adjustRightInd w:val="0"/>
              <w:snapToGrid w:val="0"/>
              <w:spacing w:line="580" w:lineRule="exact"/>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要求学生熟悉现金管理的基本原则、掌握现金使用范围的规定和现金管理的基本要求。掌握支付结算概念、办理结算的基本要求、填写凭证的基本要求；掌握人民银行对于企业账户管理的相关规定，银行账户种类、开户要求、各账户功能及使用中注意事项；掌握票据结算，包括票据种类、权利的取得、补救；汇票、本票、支票主要规定不同；掌握托收承付、委托收款、信用证、汇兑的主要规定；明</w:t>
            </w:r>
          </w:p>
        </w:tc>
        <w:tc>
          <w:tcPr>
            <w:tcW w:w="2877" w:type="dxa"/>
            <w:vAlign w:val="center"/>
          </w:tcPr>
          <w:p w14:paraId="29D38EF6">
            <w:pPr>
              <w:autoSpaceDE w:val="0"/>
              <w:autoSpaceDN w:val="0"/>
              <w:adjustRightInd w:val="0"/>
              <w:snapToGrid w:val="0"/>
              <w:spacing w:line="580" w:lineRule="exact"/>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讲授和师生研讨相结合，在讨论中澄清模糊认识。</w:t>
            </w:r>
          </w:p>
        </w:tc>
        <w:tc>
          <w:tcPr>
            <w:tcW w:w="721" w:type="dxa"/>
            <w:vAlign w:val="center"/>
          </w:tcPr>
          <w:p w14:paraId="0678FBA8">
            <w:pPr>
              <w:autoSpaceDE w:val="0"/>
              <w:autoSpaceDN w:val="0"/>
              <w:adjustRightInd w:val="0"/>
              <w:snapToGrid w:val="0"/>
              <w:spacing w:line="580" w:lineRule="exact"/>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7</w:t>
            </w:r>
          </w:p>
        </w:tc>
      </w:tr>
      <w:tr w14:paraId="7D43D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14:paraId="4AB342C7">
            <w:pPr>
              <w:autoSpaceDE w:val="0"/>
              <w:autoSpaceDN w:val="0"/>
              <w:adjustRightInd w:val="0"/>
              <w:snapToGrid w:val="0"/>
              <w:spacing w:line="580" w:lineRule="exact"/>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3</w:t>
            </w:r>
          </w:p>
        </w:tc>
        <w:tc>
          <w:tcPr>
            <w:tcW w:w="1360" w:type="dxa"/>
            <w:vAlign w:val="center"/>
          </w:tcPr>
          <w:p w14:paraId="1ED12107">
            <w:pPr>
              <w:autoSpaceDE w:val="0"/>
              <w:autoSpaceDN w:val="0"/>
              <w:adjustRightInd w:val="0"/>
              <w:snapToGrid w:val="0"/>
              <w:spacing w:line="580" w:lineRule="exact"/>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税收征收管理法律制度</w:t>
            </w:r>
          </w:p>
        </w:tc>
        <w:tc>
          <w:tcPr>
            <w:tcW w:w="3532" w:type="dxa"/>
            <w:vAlign w:val="center"/>
          </w:tcPr>
          <w:p w14:paraId="60F63369">
            <w:pPr>
              <w:autoSpaceDE w:val="0"/>
              <w:autoSpaceDN w:val="0"/>
              <w:adjustRightInd w:val="0"/>
              <w:snapToGrid w:val="0"/>
              <w:spacing w:line="580" w:lineRule="exact"/>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要求学生掌握税务管理的主要内容；发票管理，税务登记，纳税申报的相关规定；区分不同的税收征收措施与方式；识别违反税法的行为与责任。</w:t>
            </w:r>
          </w:p>
        </w:tc>
        <w:tc>
          <w:tcPr>
            <w:tcW w:w="2877" w:type="dxa"/>
            <w:vAlign w:val="center"/>
          </w:tcPr>
          <w:p w14:paraId="26831328">
            <w:pPr>
              <w:autoSpaceDE w:val="0"/>
              <w:autoSpaceDN w:val="0"/>
              <w:adjustRightInd w:val="0"/>
              <w:snapToGrid w:val="0"/>
              <w:spacing w:line="580" w:lineRule="exact"/>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以讲授为主，辅之以提问、讨论等方法进行教学，通过典型案例及热点问题的讨论，在讨论中澄清模糊认识。</w:t>
            </w:r>
          </w:p>
        </w:tc>
        <w:tc>
          <w:tcPr>
            <w:tcW w:w="721" w:type="dxa"/>
            <w:vAlign w:val="center"/>
          </w:tcPr>
          <w:p w14:paraId="3C02EE77">
            <w:pPr>
              <w:autoSpaceDE w:val="0"/>
              <w:autoSpaceDN w:val="0"/>
              <w:adjustRightInd w:val="0"/>
              <w:snapToGrid w:val="0"/>
              <w:spacing w:line="580" w:lineRule="exact"/>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7</w:t>
            </w:r>
          </w:p>
        </w:tc>
      </w:tr>
      <w:tr w14:paraId="556A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14:paraId="2CCE070C">
            <w:pPr>
              <w:autoSpaceDE w:val="0"/>
              <w:autoSpaceDN w:val="0"/>
              <w:adjustRightInd w:val="0"/>
              <w:snapToGrid w:val="0"/>
              <w:spacing w:line="580" w:lineRule="exact"/>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4</w:t>
            </w:r>
          </w:p>
        </w:tc>
        <w:tc>
          <w:tcPr>
            <w:tcW w:w="1360" w:type="dxa"/>
            <w:vAlign w:val="center"/>
          </w:tcPr>
          <w:p w14:paraId="00E1C8A0">
            <w:pPr>
              <w:autoSpaceDE w:val="0"/>
              <w:autoSpaceDN w:val="0"/>
              <w:adjustRightInd w:val="0"/>
              <w:snapToGrid w:val="0"/>
              <w:spacing w:line="580" w:lineRule="exact"/>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会计职业道德</w:t>
            </w:r>
          </w:p>
        </w:tc>
        <w:tc>
          <w:tcPr>
            <w:tcW w:w="3532" w:type="dxa"/>
            <w:vAlign w:val="center"/>
          </w:tcPr>
          <w:p w14:paraId="41C82E04">
            <w:pPr>
              <w:autoSpaceDE w:val="0"/>
              <w:autoSpaceDN w:val="0"/>
              <w:adjustRightInd w:val="0"/>
              <w:snapToGrid w:val="0"/>
              <w:spacing w:line="580" w:lineRule="exact"/>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要求学生理解道德与法律的关系；掌握和领会会计职业道德的内涵；正确识别违背会计职业道德的行为。　</w:t>
            </w:r>
          </w:p>
        </w:tc>
        <w:tc>
          <w:tcPr>
            <w:tcW w:w="2877" w:type="dxa"/>
            <w:vAlign w:val="center"/>
          </w:tcPr>
          <w:p w14:paraId="3154C195">
            <w:pPr>
              <w:autoSpaceDE w:val="0"/>
              <w:autoSpaceDN w:val="0"/>
              <w:adjustRightInd w:val="0"/>
              <w:snapToGrid w:val="0"/>
              <w:spacing w:line="580" w:lineRule="exact"/>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以讲授为主，辅之以提问、讨论等方法进行教学 ，边讲边做练习，在讨论中澄清模糊认识，做练习过程中巩固财经法规知识。</w:t>
            </w:r>
          </w:p>
        </w:tc>
        <w:tc>
          <w:tcPr>
            <w:tcW w:w="721" w:type="dxa"/>
            <w:vAlign w:val="center"/>
          </w:tcPr>
          <w:p w14:paraId="06DA56A2">
            <w:pPr>
              <w:autoSpaceDE w:val="0"/>
              <w:autoSpaceDN w:val="0"/>
              <w:adjustRightInd w:val="0"/>
              <w:snapToGrid w:val="0"/>
              <w:spacing w:line="580" w:lineRule="exact"/>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8</w:t>
            </w:r>
          </w:p>
        </w:tc>
      </w:tr>
    </w:tbl>
    <w:p w14:paraId="505AD06A">
      <w:pPr>
        <w:autoSpaceDE w:val="0"/>
        <w:autoSpaceDN w:val="0"/>
        <w:adjustRightInd w:val="0"/>
        <w:snapToGrid w:val="0"/>
        <w:spacing w:line="580" w:lineRule="exact"/>
        <w:rPr>
          <w:rFonts w:ascii="仿宋" w:hAnsi="仿宋" w:eastAsia="仿宋"/>
          <w:sz w:val="28"/>
          <w:szCs w:val="28"/>
        </w:rPr>
      </w:pPr>
    </w:p>
    <w:p w14:paraId="15158DFE">
      <w:pPr>
        <w:autoSpaceDE w:val="0"/>
        <w:autoSpaceDN w:val="0"/>
        <w:adjustRightInd w:val="0"/>
        <w:snapToGrid w:val="0"/>
        <w:spacing w:line="580" w:lineRule="exact"/>
        <w:rPr>
          <w:rFonts w:ascii="仿宋" w:hAnsi="仿宋" w:eastAsia="仿宋"/>
          <w:b/>
          <w:sz w:val="32"/>
          <w:szCs w:val="32"/>
        </w:rPr>
      </w:pPr>
      <w:r>
        <w:rPr>
          <w:rFonts w:hint="eastAsia" w:ascii="黑体" w:hAnsi="黑体" w:eastAsia="黑体"/>
          <w:sz w:val="32"/>
          <w:szCs w:val="32"/>
        </w:rPr>
        <w:t>五、教学评价建议</w:t>
      </w:r>
    </w:p>
    <w:p w14:paraId="19DFE6CE">
      <w:pPr>
        <w:pStyle w:val="34"/>
        <w:rPr>
          <w:sz w:val="28"/>
          <w:szCs w:val="28"/>
        </w:rPr>
      </w:pPr>
      <w:r>
        <w:rPr>
          <w:rFonts w:hint="eastAsia"/>
        </w:rPr>
        <w:t>教学评价弱化考试评价，加强对学生学习操作过程的评价和操作成果的评价。具体评定项目如下：</w:t>
      </w:r>
    </w:p>
    <w:p w14:paraId="3128D95E">
      <w:pPr>
        <w:pStyle w:val="34"/>
        <w:rPr>
          <w:sz w:val="28"/>
          <w:szCs w:val="28"/>
        </w:rPr>
      </w:pPr>
    </w:p>
    <w:tbl>
      <w:tblPr>
        <w:tblStyle w:val="1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833"/>
        <w:gridCol w:w="3374"/>
        <w:gridCol w:w="2207"/>
      </w:tblGrid>
      <w:tr w14:paraId="79B4B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2" w:type="dxa"/>
          </w:tcPr>
          <w:p w14:paraId="14FB6503">
            <w:pPr>
              <w:spacing w:line="580" w:lineRule="exact"/>
              <w:ind w:firstLine="360" w:firstLineChars="200"/>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评定内容</w:t>
            </w:r>
          </w:p>
        </w:tc>
        <w:tc>
          <w:tcPr>
            <w:tcW w:w="1833" w:type="dxa"/>
          </w:tcPr>
          <w:p w14:paraId="777ED582">
            <w:pPr>
              <w:spacing w:line="580" w:lineRule="exact"/>
              <w:ind w:firstLine="360" w:firstLineChars="200"/>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分值</w:t>
            </w:r>
          </w:p>
        </w:tc>
        <w:tc>
          <w:tcPr>
            <w:tcW w:w="3374" w:type="dxa"/>
          </w:tcPr>
          <w:p w14:paraId="66E316E6">
            <w:pPr>
              <w:spacing w:line="580" w:lineRule="exact"/>
              <w:ind w:firstLine="360" w:firstLineChars="200"/>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项目</w:t>
            </w:r>
          </w:p>
        </w:tc>
        <w:tc>
          <w:tcPr>
            <w:tcW w:w="2207" w:type="dxa"/>
          </w:tcPr>
          <w:p w14:paraId="743614B6">
            <w:pPr>
              <w:spacing w:line="580" w:lineRule="exact"/>
              <w:ind w:firstLine="360" w:firstLineChars="200"/>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考核方法</w:t>
            </w:r>
          </w:p>
        </w:tc>
      </w:tr>
      <w:tr w14:paraId="0295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2" w:type="dxa"/>
            <w:vAlign w:val="center"/>
          </w:tcPr>
          <w:p w14:paraId="3607E27D">
            <w:pPr>
              <w:spacing w:line="580" w:lineRule="exact"/>
              <w:ind w:firstLine="360" w:firstLineChars="200"/>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平时成绩</w:t>
            </w:r>
          </w:p>
        </w:tc>
        <w:tc>
          <w:tcPr>
            <w:tcW w:w="1833" w:type="dxa"/>
            <w:vAlign w:val="center"/>
          </w:tcPr>
          <w:p w14:paraId="67DC4BB7">
            <w:pPr>
              <w:spacing w:line="580" w:lineRule="exact"/>
              <w:ind w:firstLine="360" w:firstLineChars="200"/>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30分</w:t>
            </w:r>
          </w:p>
        </w:tc>
        <w:tc>
          <w:tcPr>
            <w:tcW w:w="3374" w:type="dxa"/>
          </w:tcPr>
          <w:p w14:paraId="2A9927C9">
            <w:pPr>
              <w:spacing w:line="580" w:lineRule="exact"/>
              <w:ind w:firstLine="360" w:firstLineChars="200"/>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1、遵守课堂纪律（10分）</w:t>
            </w:r>
          </w:p>
          <w:p w14:paraId="3BBC3266">
            <w:pPr>
              <w:spacing w:line="580" w:lineRule="exact"/>
              <w:ind w:firstLine="360" w:firstLineChars="200"/>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2、能否按时完成作业（10分）</w:t>
            </w:r>
          </w:p>
          <w:p w14:paraId="0A10CEC9">
            <w:pPr>
              <w:spacing w:line="580" w:lineRule="exact"/>
              <w:ind w:firstLine="360" w:firstLineChars="200"/>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3、平时测验成绩（10分）</w:t>
            </w:r>
          </w:p>
        </w:tc>
        <w:tc>
          <w:tcPr>
            <w:tcW w:w="2207" w:type="dxa"/>
            <w:vAlign w:val="center"/>
          </w:tcPr>
          <w:p w14:paraId="732A6ADA">
            <w:pPr>
              <w:spacing w:line="580" w:lineRule="exact"/>
              <w:ind w:firstLine="360" w:firstLineChars="200"/>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课堂纪律和作业完成情况由课代表记录</w:t>
            </w:r>
          </w:p>
          <w:p w14:paraId="61AB9142">
            <w:pPr>
              <w:spacing w:line="580" w:lineRule="exact"/>
              <w:ind w:firstLine="360" w:firstLineChars="200"/>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平时测验成绩由任课老师记录</w:t>
            </w:r>
          </w:p>
        </w:tc>
      </w:tr>
      <w:tr w14:paraId="18345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2" w:type="dxa"/>
            <w:vAlign w:val="center"/>
          </w:tcPr>
          <w:p w14:paraId="324BA783">
            <w:pPr>
              <w:spacing w:line="580" w:lineRule="exact"/>
              <w:ind w:firstLine="360" w:firstLineChars="200"/>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期中成绩</w:t>
            </w:r>
          </w:p>
        </w:tc>
        <w:tc>
          <w:tcPr>
            <w:tcW w:w="1833" w:type="dxa"/>
            <w:vAlign w:val="center"/>
          </w:tcPr>
          <w:p w14:paraId="0009009A">
            <w:pPr>
              <w:spacing w:line="580" w:lineRule="exact"/>
              <w:ind w:firstLine="360" w:firstLineChars="200"/>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30分</w:t>
            </w:r>
          </w:p>
        </w:tc>
        <w:tc>
          <w:tcPr>
            <w:tcW w:w="3374" w:type="dxa"/>
          </w:tcPr>
          <w:p w14:paraId="52BDBA83">
            <w:pPr>
              <w:spacing w:line="580" w:lineRule="exact"/>
              <w:ind w:firstLine="360" w:firstLineChars="200"/>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笔试</w:t>
            </w:r>
          </w:p>
        </w:tc>
        <w:tc>
          <w:tcPr>
            <w:tcW w:w="2207" w:type="dxa"/>
            <w:vAlign w:val="center"/>
          </w:tcPr>
          <w:p w14:paraId="506B2402">
            <w:pPr>
              <w:spacing w:line="580" w:lineRule="exact"/>
              <w:ind w:firstLine="360" w:firstLineChars="200"/>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考试成绩</w:t>
            </w:r>
          </w:p>
        </w:tc>
      </w:tr>
      <w:tr w14:paraId="734D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2" w:type="dxa"/>
            <w:vAlign w:val="center"/>
          </w:tcPr>
          <w:p w14:paraId="77D804C4">
            <w:pPr>
              <w:spacing w:line="580" w:lineRule="exact"/>
              <w:ind w:firstLine="360" w:firstLineChars="200"/>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期末考试</w:t>
            </w:r>
          </w:p>
        </w:tc>
        <w:tc>
          <w:tcPr>
            <w:tcW w:w="1833" w:type="dxa"/>
            <w:vAlign w:val="center"/>
          </w:tcPr>
          <w:p w14:paraId="77A3C439">
            <w:pPr>
              <w:spacing w:line="580" w:lineRule="exact"/>
              <w:ind w:firstLine="360" w:firstLineChars="200"/>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40分</w:t>
            </w:r>
          </w:p>
        </w:tc>
        <w:tc>
          <w:tcPr>
            <w:tcW w:w="3374" w:type="dxa"/>
          </w:tcPr>
          <w:p w14:paraId="0923B20F">
            <w:pPr>
              <w:spacing w:line="580" w:lineRule="exact"/>
              <w:ind w:firstLine="360" w:firstLineChars="200"/>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笔试</w:t>
            </w:r>
          </w:p>
        </w:tc>
        <w:tc>
          <w:tcPr>
            <w:tcW w:w="2207" w:type="dxa"/>
            <w:vAlign w:val="center"/>
          </w:tcPr>
          <w:p w14:paraId="43273ECB">
            <w:pPr>
              <w:spacing w:line="580" w:lineRule="exact"/>
              <w:ind w:firstLine="360" w:firstLineChars="200"/>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考试成绩</w:t>
            </w:r>
          </w:p>
        </w:tc>
      </w:tr>
    </w:tbl>
    <w:p w14:paraId="08F0B234">
      <w:pPr>
        <w:spacing w:line="580" w:lineRule="exact"/>
        <w:ind w:firstLine="560" w:firstLineChars="200"/>
        <w:rPr>
          <w:rFonts w:ascii="仿宋" w:hAnsi="仿宋" w:eastAsia="仿宋"/>
          <w:sz w:val="28"/>
          <w:szCs w:val="28"/>
        </w:rPr>
      </w:pPr>
    </w:p>
    <w:p w14:paraId="34E893F6">
      <w:pPr>
        <w:autoSpaceDE w:val="0"/>
        <w:autoSpaceDN w:val="0"/>
        <w:adjustRightInd w:val="0"/>
        <w:snapToGrid w:val="0"/>
        <w:spacing w:line="580" w:lineRule="exact"/>
        <w:rPr>
          <w:rFonts w:ascii="黑体" w:hAnsi="黑体" w:eastAsia="黑体"/>
          <w:sz w:val="32"/>
          <w:szCs w:val="32"/>
        </w:rPr>
      </w:pPr>
      <w:r>
        <w:rPr>
          <w:rFonts w:hint="eastAsia" w:ascii="黑体" w:hAnsi="黑体" w:eastAsia="黑体"/>
          <w:sz w:val="32"/>
          <w:szCs w:val="32"/>
        </w:rPr>
        <w:t>六、实施建议</w:t>
      </w:r>
    </w:p>
    <w:p w14:paraId="0932AE2C">
      <w:pPr>
        <w:pStyle w:val="31"/>
      </w:pPr>
      <w:r>
        <w:t>（一）教材建议</w:t>
      </w:r>
    </w:p>
    <w:p w14:paraId="59CCCDB8">
      <w:pPr>
        <w:pStyle w:val="34"/>
      </w:pPr>
      <w:r>
        <w:rPr>
          <w:rFonts w:hint="eastAsia"/>
        </w:rPr>
        <w:t>教材选用：根据教学与社会考试相结合的原则，教材选用会计从业资格考试教材，做到既完成教学工作，又适应会计从业资格考试的要求，达到职业教育的目的。</w:t>
      </w:r>
    </w:p>
    <w:p w14:paraId="68BCF41F">
      <w:pPr>
        <w:pStyle w:val="31"/>
      </w:pPr>
      <w:r>
        <w:t>（二）教学建议</w:t>
      </w:r>
    </w:p>
    <w:p w14:paraId="7DF3BE65">
      <w:pPr>
        <w:pStyle w:val="34"/>
      </w:pPr>
      <w:r>
        <w:rPr>
          <w:rFonts w:hint="eastAsia"/>
        </w:rPr>
        <w:t>教学中应注意以财务工作中常见违背职业道德的事例为例，引导学生自己注意观察实习中存在的违背职业道德行为，提高学生观察力与分析力，在此基础上分小组探讨为什么会存在违背职业道德的行为，探讨如何防范，进而培养学生养成良好道德行为习惯。</w:t>
      </w:r>
    </w:p>
    <w:p w14:paraId="4CA09B30">
      <w:pPr>
        <w:pStyle w:val="31"/>
      </w:pPr>
      <w:r>
        <w:t xml:space="preserve">(三)教学方法与评价 </w:t>
      </w:r>
    </w:p>
    <w:p w14:paraId="2E625874">
      <w:pPr>
        <w:pStyle w:val="34"/>
      </w:pPr>
      <w:r>
        <w:rPr>
          <w:rFonts w:hint="eastAsia"/>
          <w:sz w:val="28"/>
          <w:szCs w:val="28"/>
        </w:rPr>
        <w:t xml:space="preserve">   </w:t>
      </w:r>
      <w:r>
        <w:rPr>
          <w:rFonts w:hint="eastAsia"/>
        </w:rPr>
        <w:t>1、教学方法按照模块教学要求，采用理论实践一体化教学模式，充分运用多媒体、实践场地等教学手段。</w:t>
      </w:r>
    </w:p>
    <w:p w14:paraId="2ED56E4B">
      <w:pPr>
        <w:pStyle w:val="34"/>
      </w:pPr>
      <w:r>
        <w:rPr>
          <w:rFonts w:hint="eastAsia"/>
        </w:rPr>
        <w:t xml:space="preserve">   2、教学评价采取模块评价和和目标评价相结合，知识考核和实训考核相结合，平时考核和综合考核相结合。 </w:t>
      </w:r>
    </w:p>
    <w:p w14:paraId="556BEDC5">
      <w:pPr>
        <w:pStyle w:val="34"/>
      </w:pPr>
      <w:r>
        <w:rPr>
          <w:rFonts w:hint="eastAsia"/>
        </w:rPr>
        <w:t xml:space="preserve">   3 、鼓励学生参加会计初级考核。</w:t>
      </w:r>
    </w:p>
    <w:p w14:paraId="21A7F694">
      <w:pPr>
        <w:widowControl/>
        <w:jc w:val="left"/>
        <w:rPr>
          <w:rFonts w:ascii="仿宋" w:hAnsi="仿宋" w:eastAsia="仿宋"/>
          <w:sz w:val="28"/>
          <w:szCs w:val="28"/>
        </w:rPr>
      </w:pPr>
      <w:r>
        <w:rPr>
          <w:rFonts w:ascii="仿宋" w:hAnsi="仿宋" w:eastAsia="仿宋"/>
          <w:sz w:val="28"/>
          <w:szCs w:val="28"/>
        </w:rPr>
        <w:br w:type="page"/>
      </w:r>
    </w:p>
    <w:p w14:paraId="79106749">
      <w:pPr>
        <w:spacing w:line="580" w:lineRule="exact"/>
        <w:jc w:val="center"/>
        <w:rPr>
          <w:rFonts w:hint="eastAsia" w:ascii="方正小标宋简体" w:eastAsia="方正小标宋简体"/>
          <w:bCs/>
          <w:sz w:val="32"/>
          <w:szCs w:val="32"/>
        </w:rPr>
      </w:pPr>
      <w:r>
        <w:rPr>
          <w:rFonts w:hint="eastAsia" w:ascii="方正小标宋简体" w:eastAsia="方正小标宋简体"/>
          <w:bCs/>
          <w:sz w:val="32"/>
          <w:szCs w:val="32"/>
        </w:rPr>
        <w:t>《企业财务会计》课程标准</w:t>
      </w:r>
    </w:p>
    <w:p w14:paraId="1905AC69">
      <w:pPr>
        <w:spacing w:line="580" w:lineRule="exact"/>
        <w:jc w:val="left"/>
        <w:rPr>
          <w:rFonts w:ascii="黑体" w:eastAsia="黑体"/>
          <w:bCs/>
          <w:sz w:val="32"/>
          <w:szCs w:val="32"/>
        </w:rPr>
      </w:pPr>
      <w:r>
        <w:rPr>
          <w:rFonts w:hint="eastAsia" w:ascii="黑体" w:eastAsia="黑体"/>
          <w:bCs/>
          <w:sz w:val="32"/>
          <w:szCs w:val="32"/>
        </w:rPr>
        <w:t>一、课程名称：企业财务会计</w:t>
      </w:r>
    </w:p>
    <w:p w14:paraId="2543414E">
      <w:pPr>
        <w:spacing w:line="580" w:lineRule="exact"/>
        <w:jc w:val="left"/>
        <w:rPr>
          <w:rFonts w:ascii="黑体" w:eastAsia="黑体"/>
          <w:bCs/>
          <w:sz w:val="32"/>
          <w:szCs w:val="32"/>
        </w:rPr>
      </w:pPr>
      <w:r>
        <w:rPr>
          <w:rFonts w:hint="eastAsia" w:ascii="黑体" w:eastAsia="黑体"/>
          <w:bCs/>
          <w:sz w:val="32"/>
          <w:szCs w:val="32"/>
        </w:rPr>
        <w:t>二、对象：三年制中职会计专业学生</w:t>
      </w:r>
    </w:p>
    <w:p w14:paraId="13EB97E0">
      <w:pPr>
        <w:spacing w:line="580" w:lineRule="exact"/>
        <w:jc w:val="left"/>
        <w:rPr>
          <w:rFonts w:ascii="黑体" w:eastAsia="黑体"/>
          <w:bCs/>
          <w:sz w:val="32"/>
          <w:szCs w:val="32"/>
        </w:rPr>
      </w:pPr>
      <w:r>
        <w:rPr>
          <w:rFonts w:hint="eastAsia" w:ascii="黑体" w:eastAsia="黑体"/>
          <w:bCs/>
          <w:sz w:val="32"/>
          <w:szCs w:val="32"/>
        </w:rPr>
        <w:t>三、课时：4*34=136</w:t>
      </w:r>
    </w:p>
    <w:p w14:paraId="4A93280E">
      <w:pPr>
        <w:spacing w:line="580" w:lineRule="exact"/>
        <w:jc w:val="left"/>
        <w:rPr>
          <w:rFonts w:ascii="黑体" w:eastAsia="黑体"/>
          <w:bCs/>
          <w:sz w:val="32"/>
          <w:szCs w:val="32"/>
        </w:rPr>
      </w:pPr>
      <w:r>
        <w:rPr>
          <w:rFonts w:hint="eastAsia" w:ascii="黑体" w:eastAsia="黑体"/>
          <w:bCs/>
          <w:sz w:val="32"/>
          <w:szCs w:val="32"/>
        </w:rPr>
        <w:t>四：学分：8</w:t>
      </w:r>
    </w:p>
    <w:p w14:paraId="6032B490">
      <w:pPr>
        <w:spacing w:line="580" w:lineRule="exact"/>
        <w:jc w:val="left"/>
        <w:rPr>
          <w:rFonts w:ascii="黑体" w:eastAsia="黑体"/>
          <w:bCs/>
          <w:sz w:val="32"/>
          <w:szCs w:val="32"/>
        </w:rPr>
      </w:pPr>
      <w:r>
        <w:rPr>
          <w:rFonts w:hint="eastAsia" w:ascii="黑体" w:eastAsia="黑体"/>
          <w:bCs/>
          <w:sz w:val="32"/>
          <w:szCs w:val="32"/>
        </w:rPr>
        <w:t>五、课程目标：</w:t>
      </w:r>
    </w:p>
    <w:p w14:paraId="3B1ACE40">
      <w:pPr>
        <w:pStyle w:val="31"/>
      </w:pPr>
      <w:r>
        <w:t>（一）课程性质</w:t>
      </w:r>
    </w:p>
    <w:p w14:paraId="491E9B79">
      <w:pPr>
        <w:pStyle w:val="34"/>
      </w:pPr>
      <w:r>
        <w:rPr>
          <w:rFonts w:hint="eastAsia"/>
        </w:rPr>
        <w:t>本课程是中等职业学校会计专业的一门专业主干课程。前承《基础会计》，后接《涉税业务办理》、《会计电算化》。其功能在于使学生掌握会计六大要素核算的基本知识，具备会计核算业务的基本技能和专业技能，达到企业会计岗位的上岗标准。本课程服务于企业会计岗位的工作要求，具有较强的知识综合性和技能性。该门课程是学好会计专业其他主干课程的重要基础。</w:t>
      </w:r>
    </w:p>
    <w:p w14:paraId="2D4C36D0">
      <w:pPr>
        <w:pStyle w:val="31"/>
      </w:pPr>
      <w:r>
        <w:t>（二）设计思路</w:t>
      </w:r>
    </w:p>
    <w:p w14:paraId="314B4B46">
      <w:pPr>
        <w:pStyle w:val="34"/>
      </w:pPr>
      <w:r>
        <w:rPr>
          <w:rFonts w:hint="eastAsia"/>
        </w:rPr>
        <w:t>本课程以行业就业为导向，以会计报表结构布局涉及到的会计六大要素涵盖的经济业务会计核算方法为课程主线，将本课程要求掌握的会计核算业务分解设计成若干个工作任务，分二个学期开设。第一学期主要阐述和训练的是资产要素的核算知识和技能，第二学期主要阐述和训练的是负债、所有者权益、收入、费用、利润、财务报告等业务的核算知识和技能。按中职学生的认知特点采用“教学做”一体的教学方法，即理论教学与单项实训教学同步，要求学生做学结合、边学边做，以培养学生适应会计岗位的工作能力。</w:t>
      </w:r>
    </w:p>
    <w:p w14:paraId="2AEB7704">
      <w:pPr>
        <w:pStyle w:val="31"/>
      </w:pPr>
      <w:r>
        <w:t>（三）课程目标</w:t>
      </w:r>
    </w:p>
    <w:p w14:paraId="6F710B63">
      <w:pPr>
        <w:pStyle w:val="34"/>
      </w:pPr>
      <w:r>
        <w:rPr>
          <w:rFonts w:hint="eastAsia"/>
        </w:rPr>
        <w:t xml:space="preserve">会计专业的学生应该通过财务会计课程的学习与实训活动，掌握会计核算业务的相关知识和岗位技能，强化会计业务处理能力，并养成“诚信为本、操守为重、遵循准则、不做假账” 的专业品格，为上岗就业做好准备。 </w:t>
      </w:r>
    </w:p>
    <w:tbl>
      <w:tblPr>
        <w:tblStyle w:val="16"/>
        <w:tblW w:w="903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73"/>
        <w:gridCol w:w="6957"/>
      </w:tblGrid>
      <w:tr w14:paraId="1F61A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073" w:type="dxa"/>
            <w:vAlign w:val="center"/>
          </w:tcPr>
          <w:p w14:paraId="5F0884B6">
            <w:pPr>
              <w:spacing w:line="580" w:lineRule="exact"/>
              <w:ind w:firstLine="360" w:firstLineChars="200"/>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课程目标</w:t>
            </w:r>
          </w:p>
        </w:tc>
        <w:tc>
          <w:tcPr>
            <w:tcW w:w="6957" w:type="dxa"/>
            <w:vAlign w:val="center"/>
          </w:tcPr>
          <w:p w14:paraId="1B1ECF13">
            <w:pPr>
              <w:spacing w:line="580" w:lineRule="exact"/>
              <w:ind w:firstLine="360" w:firstLineChars="200"/>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具体内容</w:t>
            </w:r>
          </w:p>
        </w:tc>
      </w:tr>
      <w:tr w14:paraId="658F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073" w:type="dxa"/>
            <w:vMerge w:val="restart"/>
          </w:tcPr>
          <w:p w14:paraId="017ECA44">
            <w:pPr>
              <w:spacing w:line="580" w:lineRule="exact"/>
              <w:ind w:firstLine="360" w:firstLineChars="200"/>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知识目标</w:t>
            </w:r>
          </w:p>
        </w:tc>
        <w:tc>
          <w:tcPr>
            <w:tcW w:w="6957" w:type="dxa"/>
            <w:vAlign w:val="center"/>
          </w:tcPr>
          <w:p w14:paraId="2785870C">
            <w:pPr>
              <w:spacing w:line="580" w:lineRule="exact"/>
              <w:ind w:firstLine="360" w:firstLineChars="200"/>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 xml:space="preserve">1．理解财务会计的目标，掌握会计工作岗位设置和工作职责 </w:t>
            </w:r>
          </w:p>
        </w:tc>
      </w:tr>
      <w:tr w14:paraId="0C0F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073" w:type="dxa"/>
            <w:vMerge w:val="continue"/>
          </w:tcPr>
          <w:p w14:paraId="0D5D53F1">
            <w:pPr>
              <w:spacing w:line="580" w:lineRule="exact"/>
              <w:ind w:firstLine="360" w:firstLineChars="200"/>
              <w:rPr>
                <w:rFonts w:eastAsia="宋体" w:asciiTheme="minorEastAsia" w:hAnsiTheme="minorEastAsia" w:cstheme="minorEastAsia"/>
                <w:sz w:val="18"/>
                <w:szCs w:val="18"/>
              </w:rPr>
            </w:pPr>
          </w:p>
        </w:tc>
        <w:tc>
          <w:tcPr>
            <w:tcW w:w="6957" w:type="dxa"/>
            <w:vAlign w:val="center"/>
          </w:tcPr>
          <w:p w14:paraId="526B289F">
            <w:pPr>
              <w:spacing w:line="580" w:lineRule="exact"/>
              <w:ind w:firstLine="360" w:firstLineChars="200"/>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 xml:space="preserve">2．掌握会计六要素的核算内容和账务处理 </w:t>
            </w:r>
          </w:p>
        </w:tc>
      </w:tr>
      <w:tr w14:paraId="1B2B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073" w:type="dxa"/>
            <w:vMerge w:val="continue"/>
          </w:tcPr>
          <w:p w14:paraId="14A48769">
            <w:pPr>
              <w:spacing w:line="580" w:lineRule="exact"/>
              <w:ind w:firstLine="360" w:firstLineChars="200"/>
              <w:rPr>
                <w:rFonts w:eastAsia="宋体" w:asciiTheme="minorEastAsia" w:hAnsiTheme="minorEastAsia" w:cstheme="minorEastAsia"/>
                <w:sz w:val="18"/>
                <w:szCs w:val="18"/>
              </w:rPr>
            </w:pPr>
          </w:p>
        </w:tc>
        <w:tc>
          <w:tcPr>
            <w:tcW w:w="6957" w:type="dxa"/>
            <w:vAlign w:val="center"/>
          </w:tcPr>
          <w:p w14:paraId="3E78501B">
            <w:pPr>
              <w:spacing w:line="580" w:lineRule="exact"/>
              <w:ind w:firstLine="360" w:firstLineChars="200"/>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 xml:space="preserve">3．掌握财务报告的内容、结构和编制方法 </w:t>
            </w:r>
          </w:p>
        </w:tc>
      </w:tr>
      <w:tr w14:paraId="6967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073" w:type="dxa"/>
            <w:vMerge w:val="restart"/>
          </w:tcPr>
          <w:p w14:paraId="21325AFF">
            <w:pPr>
              <w:spacing w:line="580" w:lineRule="exact"/>
              <w:ind w:firstLine="360" w:firstLineChars="200"/>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职业技能目标</w:t>
            </w:r>
          </w:p>
        </w:tc>
        <w:tc>
          <w:tcPr>
            <w:tcW w:w="6957" w:type="dxa"/>
            <w:vAlign w:val="center"/>
          </w:tcPr>
          <w:p w14:paraId="13CBBA28">
            <w:pPr>
              <w:spacing w:line="580" w:lineRule="exact"/>
              <w:ind w:firstLine="360" w:firstLineChars="200"/>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 xml:space="preserve">1．能熟练地对资产、负债、所有者权益、收入、费用和利润进行会计核算。 </w:t>
            </w:r>
          </w:p>
        </w:tc>
      </w:tr>
      <w:tr w14:paraId="5C010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073" w:type="dxa"/>
            <w:vMerge w:val="continue"/>
          </w:tcPr>
          <w:p w14:paraId="2CAA756A">
            <w:pPr>
              <w:spacing w:line="580" w:lineRule="exact"/>
              <w:ind w:firstLine="360" w:firstLineChars="200"/>
              <w:rPr>
                <w:rFonts w:eastAsia="宋体" w:asciiTheme="minorEastAsia" w:hAnsiTheme="minorEastAsia" w:cstheme="minorEastAsia"/>
                <w:sz w:val="18"/>
                <w:szCs w:val="18"/>
              </w:rPr>
            </w:pPr>
          </w:p>
        </w:tc>
        <w:tc>
          <w:tcPr>
            <w:tcW w:w="6957" w:type="dxa"/>
            <w:vAlign w:val="center"/>
          </w:tcPr>
          <w:p w14:paraId="26B1F774">
            <w:pPr>
              <w:spacing w:line="580" w:lineRule="exact"/>
              <w:ind w:firstLine="360" w:firstLineChars="200"/>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 xml:space="preserve">2．能对一些重要的特殊业务进行会计处理。 </w:t>
            </w:r>
          </w:p>
        </w:tc>
      </w:tr>
      <w:tr w14:paraId="4BC08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073" w:type="dxa"/>
            <w:vMerge w:val="continue"/>
          </w:tcPr>
          <w:p w14:paraId="0F9F5845">
            <w:pPr>
              <w:spacing w:line="580" w:lineRule="exact"/>
              <w:ind w:firstLine="360" w:firstLineChars="200"/>
              <w:rPr>
                <w:rFonts w:eastAsia="宋体" w:asciiTheme="minorEastAsia" w:hAnsiTheme="minorEastAsia" w:cstheme="minorEastAsia"/>
                <w:sz w:val="18"/>
                <w:szCs w:val="18"/>
              </w:rPr>
            </w:pPr>
          </w:p>
        </w:tc>
        <w:tc>
          <w:tcPr>
            <w:tcW w:w="6957" w:type="dxa"/>
            <w:vAlign w:val="center"/>
          </w:tcPr>
          <w:p w14:paraId="3A6EB8F1">
            <w:pPr>
              <w:spacing w:line="580" w:lineRule="exact"/>
              <w:ind w:firstLine="360" w:firstLineChars="200"/>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 xml:space="preserve">3．能根据一个企业发生的经济业务，填制与审核原始凭证，编制记账凭证，登记账簿，编制财务会计报告。 </w:t>
            </w:r>
          </w:p>
        </w:tc>
      </w:tr>
      <w:tr w14:paraId="38471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073" w:type="dxa"/>
          </w:tcPr>
          <w:p w14:paraId="40C341A5">
            <w:pPr>
              <w:spacing w:line="580" w:lineRule="exact"/>
              <w:ind w:firstLine="360" w:firstLineChars="200"/>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职业素质养成目标</w:t>
            </w:r>
          </w:p>
        </w:tc>
        <w:tc>
          <w:tcPr>
            <w:tcW w:w="6957" w:type="dxa"/>
            <w:vAlign w:val="center"/>
          </w:tcPr>
          <w:p w14:paraId="5D28A54F">
            <w:pPr>
              <w:spacing w:line="580" w:lineRule="exact"/>
              <w:ind w:firstLine="360" w:firstLineChars="200"/>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 xml:space="preserve">爱岗敬业、诚实守信、廉洁自律、客观公正、坚持准则、提高技能、参与管理、强化服务。 </w:t>
            </w:r>
          </w:p>
        </w:tc>
      </w:tr>
      <w:tr w14:paraId="05D40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073" w:type="dxa"/>
            <w:vAlign w:val="center"/>
          </w:tcPr>
          <w:p w14:paraId="6390674C">
            <w:pPr>
              <w:spacing w:line="580" w:lineRule="exact"/>
              <w:ind w:firstLine="360" w:firstLineChars="200"/>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职业技能证书</w:t>
            </w:r>
          </w:p>
          <w:p w14:paraId="6FCCDA17">
            <w:pPr>
              <w:spacing w:line="580" w:lineRule="exact"/>
              <w:ind w:firstLine="360" w:firstLineChars="200"/>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考核要求</w:t>
            </w:r>
          </w:p>
        </w:tc>
        <w:tc>
          <w:tcPr>
            <w:tcW w:w="6957" w:type="dxa"/>
            <w:vAlign w:val="center"/>
          </w:tcPr>
          <w:p w14:paraId="0E979BA8">
            <w:pPr>
              <w:spacing w:line="580" w:lineRule="exact"/>
              <w:ind w:firstLine="360" w:firstLineChars="200"/>
              <w:rPr>
                <w:rFonts w:eastAsia="宋体" w:asciiTheme="minorEastAsia" w:hAnsiTheme="minorEastAsia" w:cstheme="minorEastAsia"/>
                <w:sz w:val="18"/>
                <w:szCs w:val="18"/>
              </w:rPr>
            </w:pPr>
            <w:r>
              <w:rPr>
                <w:rFonts w:hint="eastAsia" w:eastAsia="宋体" w:asciiTheme="minorEastAsia" w:hAnsiTheme="minorEastAsia" w:cstheme="minorEastAsia"/>
                <w:sz w:val="18"/>
                <w:szCs w:val="18"/>
              </w:rPr>
              <w:t>会计从业资格证书</w:t>
            </w:r>
          </w:p>
        </w:tc>
      </w:tr>
    </w:tbl>
    <w:p w14:paraId="7F430A9C">
      <w:pPr>
        <w:spacing w:line="580" w:lineRule="exact"/>
        <w:jc w:val="left"/>
        <w:rPr>
          <w:rFonts w:ascii="黑体" w:eastAsia="黑体"/>
          <w:bCs/>
          <w:sz w:val="32"/>
          <w:szCs w:val="32"/>
        </w:rPr>
      </w:pPr>
      <w:r>
        <w:rPr>
          <w:rFonts w:hint="eastAsia" w:ascii="黑体" w:eastAsia="黑体"/>
          <w:bCs/>
          <w:sz w:val="32"/>
          <w:szCs w:val="32"/>
        </w:rPr>
        <w:t>六、教学设计思路</w:t>
      </w:r>
    </w:p>
    <w:p w14:paraId="5DFF38A9">
      <w:pPr>
        <w:pStyle w:val="34"/>
      </w:pPr>
      <w:r>
        <w:rPr>
          <w:rFonts w:hint="eastAsia"/>
        </w:rPr>
        <w:t>（1）问题诱导法。对每个教学项目我们都精心设计了小情景案例作引导，然后就案例提出相关的问题，把教学内容融入到问题之中，通过解决问题的方法达到教学目的。我们感到问题诱导教学方法能较好地将知识传授与创新精神的培养融为一体，课堂气氛较为活跃，学生学习更为主动。</w:t>
      </w:r>
    </w:p>
    <w:p w14:paraId="01984417">
      <w:pPr>
        <w:pStyle w:val="34"/>
        <w:rPr>
          <w:rFonts w:ascii="仿宋" w:hAnsi="仿宋" w:eastAsia="仿宋"/>
        </w:rPr>
      </w:pPr>
      <w:r>
        <w:rPr>
          <w:rFonts w:hint="eastAsia" w:ascii="仿宋" w:hAnsi="仿宋" w:eastAsia="仿宋"/>
        </w:rPr>
        <w:t>（2）会计处理流程图法。任何事物都有其产生发展变化的过程，会计核算也不例外。比如对资产要素的核算，我们把它归结为“取得—持有—处置”三个环节，取得时怎样核算，不同的资产、不同的取得方式，其会计处理有什么不同，持有期间会有什么变化，对这种变化应怎样进行处理，在处置时，不同资产的处置又有什么不同等等。通过会计处理流程图，既讲清了联系，又讲清了区别。</w:t>
      </w:r>
    </w:p>
    <w:p w14:paraId="4DD517C8">
      <w:pPr>
        <w:pStyle w:val="34"/>
        <w:rPr>
          <w:rFonts w:ascii="仿宋" w:hAnsi="仿宋" w:eastAsia="仿宋"/>
        </w:rPr>
      </w:pPr>
      <w:r>
        <w:rPr>
          <w:rFonts w:hint="eastAsia" w:ascii="仿宋" w:hAnsi="仿宋" w:eastAsia="仿宋"/>
        </w:rPr>
        <w:t>（3）情景教学与角色扮演法。在理论教学中，利用网络与实训平台，进行模拟情景教学与角色扮演。在实验实训中，按会计岗位把学生分为不同的组，在组织方式上，按内控制度和不相容岗位分离原则，把学生分为财务负责人、制单、记账、出纳、审核等岗位，共同组成一个实训小组，定期轮换。增强学生的会计角色意识，达到掌握会计各个岗位、各单项技能的基本要求。</w:t>
      </w:r>
    </w:p>
    <w:p w14:paraId="41092E76">
      <w:pPr>
        <w:pStyle w:val="34"/>
        <w:rPr>
          <w:rFonts w:ascii="黑体" w:eastAsia="黑体"/>
          <w:bCs/>
        </w:rPr>
      </w:pPr>
      <w:r>
        <w:rPr>
          <w:rFonts w:hint="eastAsia" w:ascii="仿宋" w:hAnsi="仿宋" w:eastAsia="仿宋"/>
        </w:rPr>
        <w:t>除了上述几种主要方法外，在教学中还可运用诸如真账演示法、任务驱动与实际操练法，案例教学与小组讨论法等。</w:t>
      </w:r>
    </w:p>
    <w:p w14:paraId="0E4D620F">
      <w:pPr>
        <w:spacing w:line="580" w:lineRule="exact"/>
        <w:jc w:val="left"/>
        <w:rPr>
          <w:rFonts w:ascii="黑体" w:eastAsia="黑体"/>
          <w:bCs/>
          <w:sz w:val="32"/>
          <w:szCs w:val="32"/>
        </w:rPr>
      </w:pPr>
      <w:r>
        <w:rPr>
          <w:rFonts w:hint="eastAsia" w:ascii="黑体" w:eastAsia="黑体"/>
          <w:bCs/>
          <w:sz w:val="32"/>
          <w:szCs w:val="32"/>
        </w:rPr>
        <w:t>七、课程内容和要求</w:t>
      </w:r>
    </w:p>
    <w:p w14:paraId="08CE7C4C">
      <w:pPr>
        <w:autoSpaceDE w:val="0"/>
        <w:autoSpaceDN w:val="0"/>
        <w:adjustRightInd w:val="0"/>
        <w:spacing w:line="580" w:lineRule="exact"/>
        <w:jc w:val="left"/>
        <w:rPr>
          <w:rFonts w:ascii="宋体" w:hAnsi="宋体" w:cs="宋体"/>
          <w:b/>
          <w:kern w:val="0"/>
          <w:sz w:val="28"/>
          <w:szCs w:val="28"/>
        </w:rPr>
      </w:pPr>
    </w:p>
    <w:tbl>
      <w:tblPr>
        <w:tblStyle w:val="15"/>
        <w:tblpPr w:leftFromText="180" w:rightFromText="180" w:vertAnchor="text" w:horzAnchor="margin" w:tblpY="125"/>
        <w:tblW w:w="9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6"/>
        <w:gridCol w:w="1161"/>
        <w:gridCol w:w="3877"/>
        <w:gridCol w:w="3308"/>
        <w:gridCol w:w="656"/>
      </w:tblGrid>
      <w:tr w14:paraId="01DF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56" w:type="dxa"/>
            <w:tcBorders>
              <w:top w:val="single" w:color="auto" w:sz="4" w:space="0"/>
              <w:left w:val="single" w:color="auto" w:sz="4" w:space="0"/>
              <w:bottom w:val="single" w:color="auto" w:sz="4" w:space="0"/>
              <w:right w:val="single" w:color="auto" w:sz="4" w:space="0"/>
            </w:tcBorders>
            <w:vAlign w:val="center"/>
          </w:tcPr>
          <w:p w14:paraId="4F4EE188">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序号</w:t>
            </w:r>
          </w:p>
        </w:tc>
        <w:tc>
          <w:tcPr>
            <w:tcW w:w="1161" w:type="dxa"/>
            <w:tcBorders>
              <w:top w:val="single" w:color="auto" w:sz="4" w:space="0"/>
              <w:left w:val="single" w:color="auto" w:sz="4" w:space="0"/>
              <w:bottom w:val="single" w:color="auto" w:sz="4" w:space="0"/>
              <w:right w:val="single" w:color="auto" w:sz="4" w:space="0"/>
            </w:tcBorders>
            <w:vAlign w:val="center"/>
          </w:tcPr>
          <w:p w14:paraId="6CFBA7A5">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工作</w:t>
            </w:r>
          </w:p>
          <w:p w14:paraId="108E5633">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任务</w:t>
            </w:r>
          </w:p>
        </w:tc>
        <w:tc>
          <w:tcPr>
            <w:tcW w:w="3877" w:type="dxa"/>
            <w:tcBorders>
              <w:top w:val="single" w:color="auto" w:sz="4" w:space="0"/>
              <w:left w:val="single" w:color="auto" w:sz="4" w:space="0"/>
              <w:bottom w:val="single" w:color="auto" w:sz="4" w:space="0"/>
              <w:right w:val="single" w:color="auto" w:sz="4" w:space="0"/>
            </w:tcBorders>
            <w:vAlign w:val="center"/>
          </w:tcPr>
          <w:p w14:paraId="2D7372EF">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知识要求</w:t>
            </w:r>
          </w:p>
        </w:tc>
        <w:tc>
          <w:tcPr>
            <w:tcW w:w="3308" w:type="dxa"/>
            <w:tcBorders>
              <w:top w:val="single" w:color="auto" w:sz="4" w:space="0"/>
              <w:left w:val="single" w:color="auto" w:sz="4" w:space="0"/>
              <w:bottom w:val="single" w:color="auto" w:sz="4" w:space="0"/>
              <w:right w:val="single" w:color="auto" w:sz="4" w:space="0"/>
            </w:tcBorders>
            <w:vAlign w:val="center"/>
          </w:tcPr>
          <w:p w14:paraId="5BA1A9F8">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能力要求</w:t>
            </w:r>
          </w:p>
        </w:tc>
        <w:tc>
          <w:tcPr>
            <w:tcW w:w="656" w:type="dxa"/>
            <w:tcBorders>
              <w:top w:val="single" w:color="auto" w:sz="4" w:space="0"/>
              <w:left w:val="single" w:color="auto" w:sz="4" w:space="0"/>
              <w:bottom w:val="single" w:color="auto" w:sz="4" w:space="0"/>
              <w:right w:val="single" w:color="auto" w:sz="4" w:space="0"/>
            </w:tcBorders>
            <w:vAlign w:val="center"/>
          </w:tcPr>
          <w:p w14:paraId="51440225">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课时</w:t>
            </w:r>
          </w:p>
        </w:tc>
      </w:tr>
      <w:tr w14:paraId="0B38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656" w:type="dxa"/>
            <w:tcBorders>
              <w:top w:val="single" w:color="auto" w:sz="4" w:space="0"/>
              <w:left w:val="single" w:color="auto" w:sz="4" w:space="0"/>
              <w:bottom w:val="single" w:color="auto" w:sz="4" w:space="0"/>
              <w:right w:val="single" w:color="auto" w:sz="4" w:space="0"/>
            </w:tcBorders>
            <w:vAlign w:val="center"/>
          </w:tcPr>
          <w:p w14:paraId="62327C81">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第</w:t>
            </w:r>
          </w:p>
          <w:p w14:paraId="2D5394C0">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一</w:t>
            </w:r>
          </w:p>
          <w:p w14:paraId="05E2F56B">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章</w:t>
            </w:r>
          </w:p>
        </w:tc>
        <w:tc>
          <w:tcPr>
            <w:tcW w:w="1161" w:type="dxa"/>
            <w:tcBorders>
              <w:top w:val="single" w:color="auto" w:sz="4" w:space="0"/>
              <w:left w:val="single" w:color="auto" w:sz="4" w:space="0"/>
              <w:bottom w:val="single" w:color="auto" w:sz="4" w:space="0"/>
              <w:right w:val="single" w:color="auto" w:sz="4" w:space="0"/>
            </w:tcBorders>
            <w:vAlign w:val="center"/>
          </w:tcPr>
          <w:p w14:paraId="02D8136C">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概述</w:t>
            </w:r>
          </w:p>
          <w:p w14:paraId="49B460C4">
            <w:pPr>
              <w:spacing w:line="580" w:lineRule="exact"/>
              <w:ind w:firstLine="360" w:firstLineChars="200"/>
              <w:rPr>
                <w:rFonts w:asciiTheme="minorEastAsia" w:hAnsiTheme="minorEastAsia" w:cstheme="minorEastAsia"/>
                <w:sz w:val="18"/>
                <w:szCs w:val="18"/>
              </w:rPr>
            </w:pPr>
          </w:p>
        </w:tc>
        <w:tc>
          <w:tcPr>
            <w:tcW w:w="3877" w:type="dxa"/>
            <w:tcBorders>
              <w:top w:val="single" w:color="auto" w:sz="4" w:space="0"/>
              <w:left w:val="single" w:color="auto" w:sz="4" w:space="0"/>
              <w:bottom w:val="single" w:color="auto" w:sz="4" w:space="0"/>
              <w:right w:val="single" w:color="auto" w:sz="4" w:space="0"/>
            </w:tcBorders>
            <w:vAlign w:val="center"/>
          </w:tcPr>
          <w:p w14:paraId="2BDC416F">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了解企业财务会计理论；</w:t>
            </w:r>
          </w:p>
          <w:p w14:paraId="4A44C2AA">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熟悉企业财务会计假设；</w:t>
            </w:r>
          </w:p>
          <w:p w14:paraId="54F9AC3E">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3.熟悉企业财务会计核算的基本方法；</w:t>
            </w:r>
          </w:p>
          <w:p w14:paraId="13C4D869">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4.熟悉企业财务会计核算的一般原则；</w:t>
            </w:r>
          </w:p>
        </w:tc>
        <w:tc>
          <w:tcPr>
            <w:tcW w:w="3308" w:type="dxa"/>
            <w:tcBorders>
              <w:top w:val="single" w:color="auto" w:sz="4" w:space="0"/>
              <w:left w:val="single" w:color="auto" w:sz="4" w:space="0"/>
              <w:bottom w:val="single" w:color="auto" w:sz="4" w:space="0"/>
              <w:right w:val="single" w:color="auto" w:sz="4" w:space="0"/>
            </w:tcBorders>
            <w:vAlign w:val="center"/>
          </w:tcPr>
          <w:p w14:paraId="6F98A349">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1.会计报表解读</w:t>
            </w:r>
          </w:p>
          <w:p w14:paraId="26F6E7F1">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提供资产负债表、利润表和现金流量表样张，围绕会计报表讲解财务会计报告的构成、使用者和目标，并熟悉会计假设、会计信息质量要求和会计要素确认标准。</w:t>
            </w:r>
          </w:p>
        </w:tc>
        <w:tc>
          <w:tcPr>
            <w:tcW w:w="656" w:type="dxa"/>
            <w:tcBorders>
              <w:top w:val="single" w:color="auto" w:sz="4" w:space="0"/>
              <w:left w:val="single" w:color="auto" w:sz="4" w:space="0"/>
              <w:bottom w:val="single" w:color="auto" w:sz="4" w:space="0"/>
              <w:right w:val="single" w:color="auto" w:sz="4" w:space="0"/>
            </w:tcBorders>
            <w:vAlign w:val="center"/>
          </w:tcPr>
          <w:p w14:paraId="51FA5211">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4</w:t>
            </w:r>
          </w:p>
        </w:tc>
      </w:tr>
      <w:tr w14:paraId="08FE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656" w:type="dxa"/>
            <w:tcBorders>
              <w:top w:val="single" w:color="auto" w:sz="4" w:space="0"/>
              <w:left w:val="single" w:color="auto" w:sz="4" w:space="0"/>
              <w:bottom w:val="single" w:color="auto" w:sz="4" w:space="0"/>
              <w:right w:val="single" w:color="auto" w:sz="4" w:space="0"/>
            </w:tcBorders>
            <w:vAlign w:val="center"/>
          </w:tcPr>
          <w:p w14:paraId="3FF692E4">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第</w:t>
            </w:r>
          </w:p>
          <w:p w14:paraId="750D9B7C">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二</w:t>
            </w:r>
          </w:p>
          <w:p w14:paraId="5A8459B6">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章</w:t>
            </w:r>
          </w:p>
        </w:tc>
        <w:tc>
          <w:tcPr>
            <w:tcW w:w="1161" w:type="dxa"/>
            <w:tcBorders>
              <w:top w:val="single" w:color="auto" w:sz="4" w:space="0"/>
              <w:left w:val="single" w:color="auto" w:sz="4" w:space="0"/>
              <w:bottom w:val="single" w:color="auto" w:sz="4" w:space="0"/>
              <w:right w:val="single" w:color="auto" w:sz="4" w:space="0"/>
            </w:tcBorders>
            <w:vAlign w:val="center"/>
          </w:tcPr>
          <w:p w14:paraId="2D66F5BC">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货币资金的核算</w:t>
            </w:r>
          </w:p>
        </w:tc>
        <w:tc>
          <w:tcPr>
            <w:tcW w:w="3877" w:type="dxa"/>
            <w:tcBorders>
              <w:top w:val="single" w:color="auto" w:sz="4" w:space="0"/>
              <w:left w:val="single" w:color="auto" w:sz="4" w:space="0"/>
              <w:bottom w:val="single" w:color="auto" w:sz="4" w:space="0"/>
              <w:right w:val="single" w:color="auto" w:sz="4" w:space="0"/>
            </w:tcBorders>
            <w:vAlign w:val="center"/>
          </w:tcPr>
          <w:p w14:paraId="09B5F419">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1.熟悉货币资金的内容；</w:t>
            </w:r>
          </w:p>
          <w:p w14:paraId="667FBADD">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2.熟悉库存现金、银行存款、其他货币资金的账户结构，能进行账务处理；</w:t>
            </w:r>
          </w:p>
          <w:p w14:paraId="79196E0B">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3.理解现金、银行存款的清查及账务处理，掌握银行存款余额调节表的编制。</w:t>
            </w:r>
          </w:p>
        </w:tc>
        <w:tc>
          <w:tcPr>
            <w:tcW w:w="3308" w:type="dxa"/>
            <w:tcBorders>
              <w:top w:val="single" w:color="auto" w:sz="4" w:space="0"/>
              <w:left w:val="single" w:color="auto" w:sz="4" w:space="0"/>
              <w:bottom w:val="single" w:color="auto" w:sz="4" w:space="0"/>
              <w:right w:val="single" w:color="auto" w:sz="4" w:space="0"/>
            </w:tcBorders>
            <w:vAlign w:val="center"/>
          </w:tcPr>
          <w:p w14:paraId="52521D67">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1.货币资金的核算</w:t>
            </w:r>
          </w:p>
          <w:p w14:paraId="6BC24FD0">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结合课程内容和教学进度，设计相应的业务案例，通过模拟训练使学生掌握货币资金的收入、发出的账务处理以及相关原始凭证的填制。</w:t>
            </w:r>
          </w:p>
        </w:tc>
        <w:tc>
          <w:tcPr>
            <w:tcW w:w="656" w:type="dxa"/>
            <w:tcBorders>
              <w:top w:val="single" w:color="auto" w:sz="4" w:space="0"/>
              <w:left w:val="single" w:color="auto" w:sz="4" w:space="0"/>
              <w:bottom w:val="single" w:color="auto" w:sz="4" w:space="0"/>
              <w:right w:val="single" w:color="auto" w:sz="4" w:space="0"/>
            </w:tcBorders>
            <w:vAlign w:val="center"/>
          </w:tcPr>
          <w:p w14:paraId="759B5C82">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10</w:t>
            </w:r>
          </w:p>
        </w:tc>
      </w:tr>
      <w:tr w14:paraId="68445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656" w:type="dxa"/>
            <w:tcBorders>
              <w:top w:val="single" w:color="auto" w:sz="4" w:space="0"/>
              <w:left w:val="single" w:color="auto" w:sz="4" w:space="0"/>
              <w:bottom w:val="single" w:color="auto" w:sz="4" w:space="0"/>
              <w:right w:val="single" w:color="auto" w:sz="4" w:space="0"/>
            </w:tcBorders>
            <w:vAlign w:val="center"/>
          </w:tcPr>
          <w:p w14:paraId="4BA841F6">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第</w:t>
            </w:r>
          </w:p>
          <w:p w14:paraId="79DEDA09">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三</w:t>
            </w:r>
          </w:p>
          <w:p w14:paraId="02BE3E8E">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章</w:t>
            </w:r>
          </w:p>
        </w:tc>
        <w:tc>
          <w:tcPr>
            <w:tcW w:w="1161" w:type="dxa"/>
            <w:tcBorders>
              <w:top w:val="single" w:color="auto" w:sz="4" w:space="0"/>
              <w:left w:val="single" w:color="auto" w:sz="4" w:space="0"/>
              <w:bottom w:val="single" w:color="auto" w:sz="4" w:space="0"/>
              <w:right w:val="single" w:color="auto" w:sz="4" w:space="0"/>
            </w:tcBorders>
            <w:vAlign w:val="center"/>
          </w:tcPr>
          <w:p w14:paraId="52EFE029">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应收及</w:t>
            </w:r>
          </w:p>
          <w:p w14:paraId="47ADDD05">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预付款项的核算</w:t>
            </w:r>
          </w:p>
        </w:tc>
        <w:tc>
          <w:tcPr>
            <w:tcW w:w="3877" w:type="dxa"/>
            <w:tcBorders>
              <w:top w:val="single" w:color="auto" w:sz="4" w:space="0"/>
              <w:left w:val="single" w:color="auto" w:sz="4" w:space="0"/>
              <w:bottom w:val="single" w:color="auto" w:sz="4" w:space="0"/>
              <w:right w:val="single" w:color="auto" w:sz="4" w:space="0"/>
            </w:tcBorders>
            <w:vAlign w:val="center"/>
          </w:tcPr>
          <w:p w14:paraId="063F7D8B">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1.熟悉应收及预付款项的内容；应收账款、应收票据、预付账款产生的原因；</w:t>
            </w:r>
          </w:p>
          <w:p w14:paraId="3F9BE6F3">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2.熟悉商业汇票的种类；应收票据账户结构，能进行不带息应收票据的取得、到期收回及转让的会计核算；</w:t>
            </w:r>
          </w:p>
          <w:p w14:paraId="704990D1">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3.了解带息应收票据的核算；</w:t>
            </w:r>
          </w:p>
          <w:p w14:paraId="76D7BCFD">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4.熟悉应收账款账户结构，能进行应收账款形成和收回的会计核算；</w:t>
            </w:r>
          </w:p>
          <w:p w14:paraId="493CE29B">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5.熟悉预付账款账户设置和账户结构；能进行预付货款、收货结算和差额补付（或差额退回）的会计核算；</w:t>
            </w:r>
          </w:p>
          <w:p w14:paraId="64ACD23F">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6.熟悉其他应收款的内容及核算；</w:t>
            </w:r>
          </w:p>
          <w:p w14:paraId="0C90343C">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7.了解应收款项减损的确认；掌握坏账准备的会计核算。</w:t>
            </w:r>
          </w:p>
        </w:tc>
        <w:tc>
          <w:tcPr>
            <w:tcW w:w="3308" w:type="dxa"/>
            <w:tcBorders>
              <w:top w:val="single" w:color="auto" w:sz="4" w:space="0"/>
              <w:left w:val="single" w:color="auto" w:sz="4" w:space="0"/>
              <w:bottom w:val="single" w:color="auto" w:sz="4" w:space="0"/>
              <w:right w:val="single" w:color="auto" w:sz="4" w:space="0"/>
            </w:tcBorders>
            <w:vAlign w:val="center"/>
          </w:tcPr>
          <w:p w14:paraId="6030711A">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1.往来债权的核算</w:t>
            </w:r>
          </w:p>
          <w:p w14:paraId="64B82D52">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结合课程内容和教学进度，设计相应的业务案例，通过模拟训练使学生掌握应收账款、预付账款、应收票据、其他应收款的账务处理。</w:t>
            </w:r>
          </w:p>
          <w:p w14:paraId="680E2246">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2.坏账准备的核算</w:t>
            </w:r>
          </w:p>
          <w:p w14:paraId="5FFC55B2">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结合课程内容和教学进度，设计相应的业务案例，通过模拟训练使学生掌握坏账准备的账务处理。</w:t>
            </w:r>
          </w:p>
          <w:p w14:paraId="0C17F9AF">
            <w:pPr>
              <w:spacing w:line="580" w:lineRule="exact"/>
              <w:ind w:firstLine="360" w:firstLineChars="200"/>
              <w:rPr>
                <w:rFonts w:asciiTheme="minorEastAsia" w:hAnsiTheme="minorEastAsia" w:cstheme="minorEastAsia"/>
                <w:sz w:val="18"/>
                <w:szCs w:val="18"/>
              </w:rPr>
            </w:pPr>
          </w:p>
        </w:tc>
        <w:tc>
          <w:tcPr>
            <w:tcW w:w="656" w:type="dxa"/>
            <w:tcBorders>
              <w:top w:val="single" w:color="auto" w:sz="4" w:space="0"/>
              <w:left w:val="single" w:color="auto" w:sz="4" w:space="0"/>
              <w:bottom w:val="single" w:color="auto" w:sz="4" w:space="0"/>
              <w:right w:val="single" w:color="auto" w:sz="4" w:space="0"/>
            </w:tcBorders>
            <w:vAlign w:val="center"/>
          </w:tcPr>
          <w:p w14:paraId="56B35A18">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12</w:t>
            </w:r>
          </w:p>
        </w:tc>
      </w:tr>
      <w:tr w14:paraId="30F43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77" w:hRule="atLeast"/>
        </w:trPr>
        <w:tc>
          <w:tcPr>
            <w:tcW w:w="656" w:type="dxa"/>
            <w:tcBorders>
              <w:top w:val="single" w:color="auto" w:sz="4" w:space="0"/>
              <w:left w:val="single" w:color="auto" w:sz="4" w:space="0"/>
              <w:bottom w:val="single" w:color="auto" w:sz="4" w:space="0"/>
              <w:right w:val="single" w:color="auto" w:sz="4" w:space="0"/>
            </w:tcBorders>
            <w:vAlign w:val="center"/>
          </w:tcPr>
          <w:p w14:paraId="3C494736">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第</w:t>
            </w:r>
          </w:p>
          <w:p w14:paraId="231F0469">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四</w:t>
            </w:r>
          </w:p>
          <w:p w14:paraId="12F69902">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章</w:t>
            </w:r>
          </w:p>
        </w:tc>
        <w:tc>
          <w:tcPr>
            <w:tcW w:w="1161" w:type="dxa"/>
            <w:tcBorders>
              <w:top w:val="single" w:color="auto" w:sz="4" w:space="0"/>
              <w:left w:val="single" w:color="auto" w:sz="4" w:space="0"/>
              <w:bottom w:val="single" w:color="auto" w:sz="4" w:space="0"/>
              <w:right w:val="single" w:color="auto" w:sz="4" w:space="0"/>
            </w:tcBorders>
            <w:vAlign w:val="center"/>
          </w:tcPr>
          <w:p w14:paraId="699F0B07">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存货</w:t>
            </w:r>
          </w:p>
        </w:tc>
        <w:tc>
          <w:tcPr>
            <w:tcW w:w="3877" w:type="dxa"/>
            <w:tcBorders>
              <w:top w:val="single" w:color="auto" w:sz="4" w:space="0"/>
              <w:left w:val="single" w:color="auto" w:sz="4" w:space="0"/>
              <w:bottom w:val="single" w:color="auto" w:sz="4" w:space="0"/>
              <w:right w:val="single" w:color="auto" w:sz="4" w:space="0"/>
            </w:tcBorders>
            <w:vAlign w:val="center"/>
          </w:tcPr>
          <w:p w14:paraId="6A2AAA27">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1.熟悉存货的内容和核算方法；</w:t>
            </w:r>
          </w:p>
          <w:p w14:paraId="19926FCE">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2.熟悉采用实际成本核算时存货发出的计价方法，能用先进先出法和月末一次加权平均法计算原材料发出和结存成本；</w:t>
            </w:r>
          </w:p>
          <w:p w14:paraId="6403A0CE">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3.熟悉采用实际成本核算时一般纳税人原材料相关账户的设置情况，能进行一般纳税人原材料购入和发出的核算；</w:t>
            </w:r>
          </w:p>
          <w:p w14:paraId="00696788">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4.熟悉采用计划成本核算时存货计划成本和实际成本的关系，会计算本月材料成本差异率、发出材料应负担的成本差异、发出材料和结存材料的实际成本；</w:t>
            </w:r>
          </w:p>
          <w:p w14:paraId="354F0B10">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5.了解采用计划成本核算方法时一般纳税人原材料相关账户的设置情况，能进行一般纳税人原材料购入和发出的简单核算。</w:t>
            </w:r>
          </w:p>
        </w:tc>
        <w:tc>
          <w:tcPr>
            <w:tcW w:w="3308" w:type="dxa"/>
            <w:tcBorders>
              <w:top w:val="single" w:color="auto" w:sz="4" w:space="0"/>
              <w:left w:val="single" w:color="auto" w:sz="4" w:space="0"/>
              <w:bottom w:val="single" w:color="auto" w:sz="4" w:space="0"/>
              <w:right w:val="single" w:color="auto" w:sz="4" w:space="0"/>
            </w:tcBorders>
            <w:vAlign w:val="center"/>
          </w:tcPr>
          <w:p w14:paraId="13F7B36F">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1.原材料发出成本和结存成本的计算</w:t>
            </w:r>
          </w:p>
          <w:p w14:paraId="1B461127">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结合课程内容和教学进度，设计相应的计算分析题，通过模拟操作使学生能用个别计价法、先进先出法、加权平均法和计划成本法计算原材料发出成本和结存成本。</w:t>
            </w:r>
          </w:p>
          <w:p w14:paraId="3CDD4299">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2.原材料收发的核算</w:t>
            </w:r>
          </w:p>
          <w:p w14:paraId="7773E294">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结合课程内容和教学进度，设计相应的业务案例，通过训练使学生掌握实际成本计价下原材料收发的账务处理</w:t>
            </w:r>
          </w:p>
        </w:tc>
        <w:tc>
          <w:tcPr>
            <w:tcW w:w="656" w:type="dxa"/>
            <w:tcBorders>
              <w:top w:val="single" w:color="auto" w:sz="4" w:space="0"/>
              <w:left w:val="single" w:color="auto" w:sz="4" w:space="0"/>
              <w:bottom w:val="single" w:color="auto" w:sz="4" w:space="0"/>
              <w:right w:val="single" w:color="auto" w:sz="4" w:space="0"/>
            </w:tcBorders>
            <w:vAlign w:val="center"/>
          </w:tcPr>
          <w:p w14:paraId="5BF29D89">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10</w:t>
            </w:r>
          </w:p>
        </w:tc>
      </w:tr>
      <w:tr w14:paraId="35B7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2" w:hRule="atLeast"/>
        </w:trPr>
        <w:tc>
          <w:tcPr>
            <w:tcW w:w="656" w:type="dxa"/>
            <w:tcBorders>
              <w:top w:val="single" w:color="auto" w:sz="4" w:space="0"/>
              <w:left w:val="single" w:color="auto" w:sz="4" w:space="0"/>
              <w:bottom w:val="single" w:color="auto" w:sz="4" w:space="0"/>
              <w:right w:val="single" w:color="auto" w:sz="4" w:space="0"/>
            </w:tcBorders>
            <w:vAlign w:val="center"/>
          </w:tcPr>
          <w:p w14:paraId="5A14F47E">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第</w:t>
            </w:r>
          </w:p>
          <w:p w14:paraId="7EF4A5FB">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四</w:t>
            </w:r>
          </w:p>
          <w:p w14:paraId="50DB54FF">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章</w:t>
            </w:r>
          </w:p>
        </w:tc>
        <w:tc>
          <w:tcPr>
            <w:tcW w:w="1161" w:type="dxa"/>
            <w:tcBorders>
              <w:top w:val="single" w:color="auto" w:sz="4" w:space="0"/>
              <w:left w:val="single" w:color="auto" w:sz="4" w:space="0"/>
              <w:bottom w:val="single" w:color="auto" w:sz="4" w:space="0"/>
              <w:right w:val="single" w:color="auto" w:sz="4" w:space="0"/>
            </w:tcBorders>
            <w:vAlign w:val="center"/>
          </w:tcPr>
          <w:p w14:paraId="1CE15D40">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其他存货的核算</w:t>
            </w:r>
          </w:p>
        </w:tc>
        <w:tc>
          <w:tcPr>
            <w:tcW w:w="3877" w:type="dxa"/>
            <w:tcBorders>
              <w:top w:val="single" w:color="auto" w:sz="4" w:space="0"/>
              <w:left w:val="single" w:color="auto" w:sz="4" w:space="0"/>
              <w:bottom w:val="single" w:color="auto" w:sz="4" w:space="0"/>
              <w:right w:val="single" w:color="auto" w:sz="4" w:space="0"/>
            </w:tcBorders>
            <w:vAlign w:val="center"/>
          </w:tcPr>
          <w:p w14:paraId="26840A39">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1.熟悉库存商品的内容和账户结构，能进行工业企业完工产品入库和商品销售的核算；</w:t>
            </w:r>
          </w:p>
          <w:p w14:paraId="03EDB555">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2.了解委托加工物资的含义，熟悉委托加工物资的成本构成；能进行不含消费税情况下发出物资、支付加工运杂费及收回委托加工物资的会计核算；</w:t>
            </w:r>
          </w:p>
          <w:p w14:paraId="0286A568">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3.熟悉包装物和低值易耗品的核算内容和账户设置；能进行包装物和低值易耗品购入、领用、摊销的会计核算；</w:t>
            </w:r>
          </w:p>
          <w:p w14:paraId="47213465">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4.熟悉存货清查方法，能进行存货盘盈、盘亏的核算；</w:t>
            </w:r>
          </w:p>
          <w:p w14:paraId="46244C79">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5.了解存货减值的概念和计提存货跌价准备的核算。</w:t>
            </w:r>
          </w:p>
        </w:tc>
        <w:tc>
          <w:tcPr>
            <w:tcW w:w="3308" w:type="dxa"/>
            <w:tcBorders>
              <w:top w:val="single" w:color="auto" w:sz="4" w:space="0"/>
              <w:left w:val="single" w:color="auto" w:sz="4" w:space="0"/>
              <w:bottom w:val="single" w:color="auto" w:sz="4" w:space="0"/>
              <w:right w:val="single" w:color="auto" w:sz="4" w:space="0"/>
            </w:tcBorders>
            <w:vAlign w:val="center"/>
          </w:tcPr>
          <w:p w14:paraId="078A2757">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1.其他存货的核算</w:t>
            </w:r>
          </w:p>
          <w:p w14:paraId="22605D5E">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结合课程内容和教学进度，设计相应的业务案例，通过模拟训练使学生掌握库存商品、委托加工物资、包装物和低值易耗品的账务处理。</w:t>
            </w:r>
          </w:p>
          <w:p w14:paraId="145B1166">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2.存货清查的核算</w:t>
            </w:r>
          </w:p>
          <w:p w14:paraId="0CA24D51">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结合课程内容和教学进度，设计相应的业务案例，通过训练使学生掌握存货盘盈、盘亏的账务处理。</w:t>
            </w:r>
          </w:p>
        </w:tc>
        <w:tc>
          <w:tcPr>
            <w:tcW w:w="656" w:type="dxa"/>
            <w:tcBorders>
              <w:top w:val="single" w:color="auto" w:sz="4" w:space="0"/>
              <w:left w:val="single" w:color="auto" w:sz="4" w:space="0"/>
              <w:bottom w:val="single" w:color="auto" w:sz="4" w:space="0"/>
              <w:right w:val="single" w:color="auto" w:sz="4" w:space="0"/>
            </w:tcBorders>
            <w:vAlign w:val="center"/>
          </w:tcPr>
          <w:p w14:paraId="4A0F6587">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10</w:t>
            </w:r>
          </w:p>
        </w:tc>
      </w:tr>
      <w:tr w14:paraId="543DE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656" w:type="dxa"/>
            <w:tcBorders>
              <w:top w:val="single" w:color="auto" w:sz="4" w:space="0"/>
              <w:left w:val="single" w:color="auto" w:sz="4" w:space="0"/>
              <w:bottom w:val="single" w:color="auto" w:sz="4" w:space="0"/>
              <w:right w:val="single" w:color="auto" w:sz="4" w:space="0"/>
            </w:tcBorders>
            <w:vAlign w:val="center"/>
          </w:tcPr>
          <w:p w14:paraId="2CA9B05E">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第</w:t>
            </w:r>
          </w:p>
          <w:p w14:paraId="16C12C88">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五</w:t>
            </w:r>
          </w:p>
          <w:p w14:paraId="7204BC37">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章</w:t>
            </w:r>
          </w:p>
          <w:p w14:paraId="75015EC5">
            <w:pPr>
              <w:spacing w:line="580" w:lineRule="exact"/>
              <w:ind w:firstLine="360" w:firstLineChars="200"/>
              <w:rPr>
                <w:rFonts w:asciiTheme="minorEastAsia" w:hAnsiTheme="minorEastAsia" w:cstheme="minorEastAsia"/>
                <w:sz w:val="18"/>
                <w:szCs w:val="18"/>
              </w:rPr>
            </w:pPr>
          </w:p>
        </w:tc>
        <w:tc>
          <w:tcPr>
            <w:tcW w:w="1161" w:type="dxa"/>
            <w:tcBorders>
              <w:top w:val="single" w:color="auto" w:sz="4" w:space="0"/>
              <w:left w:val="single" w:color="auto" w:sz="4" w:space="0"/>
              <w:bottom w:val="single" w:color="auto" w:sz="4" w:space="0"/>
              <w:right w:val="single" w:color="auto" w:sz="4" w:space="0"/>
            </w:tcBorders>
            <w:vAlign w:val="center"/>
          </w:tcPr>
          <w:p w14:paraId="12537272">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固定资产</w:t>
            </w:r>
          </w:p>
          <w:p w14:paraId="378EBE41">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的核算</w:t>
            </w:r>
          </w:p>
        </w:tc>
        <w:tc>
          <w:tcPr>
            <w:tcW w:w="3877" w:type="dxa"/>
            <w:tcBorders>
              <w:top w:val="single" w:color="auto" w:sz="4" w:space="0"/>
              <w:left w:val="single" w:color="auto" w:sz="4" w:space="0"/>
              <w:bottom w:val="single" w:color="auto" w:sz="4" w:space="0"/>
              <w:right w:val="single" w:color="auto" w:sz="4" w:space="0"/>
            </w:tcBorders>
            <w:vAlign w:val="center"/>
          </w:tcPr>
          <w:p w14:paraId="1C83EC91">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1.熟悉固定资产的含义及特征；</w:t>
            </w:r>
          </w:p>
          <w:p w14:paraId="697F9CC0">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2.熟悉固定资产折旧的含义、影响因素和计提范围；</w:t>
            </w:r>
          </w:p>
          <w:p w14:paraId="52CF8060">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3.会用平均年限法、工作量法、年数总和法和双倍余额递减法计算固定资产折旧；</w:t>
            </w:r>
          </w:p>
          <w:p w14:paraId="01684D2F">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4.了解企业月末固定资产折旧总额的计算方法，能进行提取折旧的会计核算；</w:t>
            </w:r>
          </w:p>
          <w:p w14:paraId="0B7893BE">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5.熟悉固定资产、在建工程和工程物资账户结构，能进行固定资产取得、维修、出售、盘盈、盘亏的会计核算；</w:t>
            </w:r>
          </w:p>
          <w:p w14:paraId="0AEA54FC">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6.了解固定资产减值准备的相关概念。</w:t>
            </w:r>
          </w:p>
        </w:tc>
        <w:tc>
          <w:tcPr>
            <w:tcW w:w="3308" w:type="dxa"/>
            <w:tcBorders>
              <w:top w:val="single" w:color="auto" w:sz="4" w:space="0"/>
              <w:left w:val="single" w:color="auto" w:sz="4" w:space="0"/>
              <w:bottom w:val="single" w:color="auto" w:sz="4" w:space="0"/>
              <w:right w:val="single" w:color="auto" w:sz="4" w:space="0"/>
            </w:tcBorders>
            <w:vAlign w:val="center"/>
          </w:tcPr>
          <w:p w14:paraId="23F044DA">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1.固定资产增加的核算</w:t>
            </w:r>
          </w:p>
          <w:p w14:paraId="44C13514">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结合课程内容和教学进度，设计相应的业务案例题，通过模拟操作使学生掌握外购、接受投资、等不同方式取得的固定资产的账务处理。</w:t>
            </w:r>
          </w:p>
          <w:p w14:paraId="377D9122">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2.固定资产折旧的计算</w:t>
            </w:r>
          </w:p>
          <w:p w14:paraId="6ADD53C7">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结合课程内容和教学进度，设计相应的计算分析题，通过模拟操作使学生掌握平均年限法、工作量法、年数总和法下固定资产折旧的计算。</w:t>
            </w:r>
          </w:p>
        </w:tc>
        <w:tc>
          <w:tcPr>
            <w:tcW w:w="656" w:type="dxa"/>
            <w:tcBorders>
              <w:top w:val="single" w:color="auto" w:sz="4" w:space="0"/>
              <w:left w:val="single" w:color="auto" w:sz="4" w:space="0"/>
              <w:bottom w:val="single" w:color="auto" w:sz="4" w:space="0"/>
              <w:right w:val="single" w:color="auto" w:sz="4" w:space="0"/>
            </w:tcBorders>
            <w:vAlign w:val="center"/>
          </w:tcPr>
          <w:p w14:paraId="4FDF1785">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16</w:t>
            </w:r>
          </w:p>
        </w:tc>
      </w:tr>
      <w:tr w14:paraId="5D9A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656" w:type="dxa"/>
            <w:tcBorders>
              <w:top w:val="single" w:color="auto" w:sz="4" w:space="0"/>
              <w:left w:val="single" w:color="auto" w:sz="4" w:space="0"/>
              <w:bottom w:val="single" w:color="auto" w:sz="4" w:space="0"/>
              <w:right w:val="single" w:color="auto" w:sz="4" w:space="0"/>
            </w:tcBorders>
            <w:vAlign w:val="center"/>
          </w:tcPr>
          <w:p w14:paraId="3A624817">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第</w:t>
            </w:r>
          </w:p>
          <w:p w14:paraId="6FB26E7B">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六</w:t>
            </w:r>
          </w:p>
          <w:p w14:paraId="3FD90779">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章</w:t>
            </w:r>
          </w:p>
        </w:tc>
        <w:tc>
          <w:tcPr>
            <w:tcW w:w="1161" w:type="dxa"/>
            <w:tcBorders>
              <w:top w:val="single" w:color="auto" w:sz="4" w:space="0"/>
              <w:left w:val="single" w:color="auto" w:sz="4" w:space="0"/>
              <w:bottom w:val="single" w:color="auto" w:sz="4" w:space="0"/>
              <w:right w:val="single" w:color="auto" w:sz="4" w:space="0"/>
            </w:tcBorders>
            <w:vAlign w:val="center"/>
          </w:tcPr>
          <w:p w14:paraId="6C6913BC">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无形资产的核算</w:t>
            </w:r>
          </w:p>
        </w:tc>
        <w:tc>
          <w:tcPr>
            <w:tcW w:w="3877" w:type="dxa"/>
            <w:tcBorders>
              <w:top w:val="single" w:color="auto" w:sz="4" w:space="0"/>
              <w:left w:val="single" w:color="auto" w:sz="4" w:space="0"/>
              <w:bottom w:val="single" w:color="auto" w:sz="4" w:space="0"/>
              <w:right w:val="single" w:color="auto" w:sz="4" w:space="0"/>
            </w:tcBorders>
            <w:vAlign w:val="center"/>
          </w:tcPr>
          <w:p w14:paraId="38EC8049">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1.熟悉无形资产的含义、特征及内容；</w:t>
            </w:r>
          </w:p>
          <w:p w14:paraId="5FDE03AB">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2.熟悉无形资产和研发支出的账户结构；</w:t>
            </w:r>
          </w:p>
          <w:p w14:paraId="764F282A">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3.熟悉研发支出核算的相关规定；</w:t>
            </w:r>
          </w:p>
          <w:p w14:paraId="06A9D1C2">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4.会进行无形资产取得、摊销和出售的会计核算；</w:t>
            </w:r>
          </w:p>
          <w:p w14:paraId="00FF0F34">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5.了解无形资产减值准备的相关概念。</w:t>
            </w:r>
          </w:p>
        </w:tc>
        <w:tc>
          <w:tcPr>
            <w:tcW w:w="3308" w:type="dxa"/>
            <w:tcBorders>
              <w:top w:val="single" w:color="auto" w:sz="4" w:space="0"/>
              <w:left w:val="single" w:color="auto" w:sz="4" w:space="0"/>
              <w:bottom w:val="single" w:color="auto" w:sz="4" w:space="0"/>
              <w:right w:val="single" w:color="auto" w:sz="4" w:space="0"/>
            </w:tcBorders>
            <w:vAlign w:val="center"/>
          </w:tcPr>
          <w:p w14:paraId="04F1A9F1">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1.固定资产增加的核算</w:t>
            </w:r>
          </w:p>
          <w:p w14:paraId="6FC5A88A">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结合课程内容和教学进度，设计相应的业务案例题，通过模拟操作使学生掌握外购、接受投资等不同方式下取得的无形资产的账务处理。</w:t>
            </w:r>
          </w:p>
        </w:tc>
        <w:tc>
          <w:tcPr>
            <w:tcW w:w="656" w:type="dxa"/>
            <w:tcBorders>
              <w:top w:val="single" w:color="auto" w:sz="4" w:space="0"/>
              <w:left w:val="single" w:color="auto" w:sz="4" w:space="0"/>
              <w:bottom w:val="single" w:color="auto" w:sz="4" w:space="0"/>
              <w:right w:val="single" w:color="auto" w:sz="4" w:space="0"/>
            </w:tcBorders>
            <w:vAlign w:val="center"/>
          </w:tcPr>
          <w:p w14:paraId="34091E67">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4</w:t>
            </w:r>
          </w:p>
        </w:tc>
      </w:tr>
      <w:tr w14:paraId="2568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656" w:type="dxa"/>
            <w:tcBorders>
              <w:top w:val="single" w:color="auto" w:sz="4" w:space="0"/>
              <w:left w:val="single" w:color="auto" w:sz="4" w:space="0"/>
              <w:bottom w:val="single" w:color="auto" w:sz="4" w:space="0"/>
              <w:right w:val="single" w:color="auto" w:sz="4" w:space="0"/>
            </w:tcBorders>
            <w:vAlign w:val="center"/>
          </w:tcPr>
          <w:p w14:paraId="1F80C23C">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第</w:t>
            </w:r>
          </w:p>
          <w:p w14:paraId="5A037A8C">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七</w:t>
            </w:r>
          </w:p>
          <w:p w14:paraId="3758C829">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章</w:t>
            </w:r>
          </w:p>
        </w:tc>
        <w:tc>
          <w:tcPr>
            <w:tcW w:w="1161" w:type="dxa"/>
            <w:tcBorders>
              <w:top w:val="single" w:color="auto" w:sz="4" w:space="0"/>
              <w:left w:val="single" w:color="auto" w:sz="4" w:space="0"/>
              <w:bottom w:val="single" w:color="auto" w:sz="4" w:space="0"/>
              <w:right w:val="single" w:color="auto" w:sz="4" w:space="0"/>
            </w:tcBorders>
            <w:vAlign w:val="center"/>
          </w:tcPr>
          <w:p w14:paraId="00245188">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流动负债和非流动负债的核算</w:t>
            </w:r>
          </w:p>
        </w:tc>
        <w:tc>
          <w:tcPr>
            <w:tcW w:w="3877" w:type="dxa"/>
            <w:tcBorders>
              <w:top w:val="single" w:color="auto" w:sz="4" w:space="0"/>
              <w:left w:val="single" w:color="auto" w:sz="4" w:space="0"/>
              <w:bottom w:val="single" w:color="auto" w:sz="4" w:space="0"/>
              <w:right w:val="single" w:color="auto" w:sz="4" w:space="0"/>
            </w:tcBorders>
            <w:vAlign w:val="center"/>
          </w:tcPr>
          <w:p w14:paraId="7B3295B7">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熟悉负债的含义和特征；</w:t>
            </w:r>
          </w:p>
          <w:p w14:paraId="73999231">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流动负债、非流动负债的含义和内容。</w:t>
            </w:r>
          </w:p>
          <w:p w14:paraId="0F5FB05F">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2.熟悉短期借款的特征和账户结构；能进行短期借款取得、计息和归还的会计核算；</w:t>
            </w:r>
          </w:p>
          <w:p w14:paraId="24CDA402">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3.熟悉应付及预收款项的内容和账户设置；能进行应付账款产生和归还、预收账款产生、预售商品结算和预收款补收（或退还）的会计核算；</w:t>
            </w:r>
          </w:p>
          <w:p w14:paraId="2BE310F8">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4.熟悉应付票据产生原因和应付票据账户结构；能进行不带息应付票据的核算；了解带息应付票据的核算。</w:t>
            </w:r>
          </w:p>
        </w:tc>
        <w:tc>
          <w:tcPr>
            <w:tcW w:w="3308" w:type="dxa"/>
            <w:tcBorders>
              <w:top w:val="single" w:color="auto" w:sz="4" w:space="0"/>
              <w:left w:val="single" w:color="auto" w:sz="4" w:space="0"/>
              <w:bottom w:val="single" w:color="auto" w:sz="4" w:space="0"/>
              <w:right w:val="single" w:color="auto" w:sz="4" w:space="0"/>
            </w:tcBorders>
            <w:vAlign w:val="center"/>
          </w:tcPr>
          <w:p w14:paraId="2C8B9DC2">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1.负债的核算</w:t>
            </w:r>
          </w:p>
          <w:p w14:paraId="39FF38A0">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结合课程内容和教学进度，设计相应的业务案例，通过分析指导及模拟训练使学生掌握短期借款、应付及预收款项、应付票据、其他应付款的账务处理。</w:t>
            </w:r>
          </w:p>
        </w:tc>
        <w:tc>
          <w:tcPr>
            <w:tcW w:w="656" w:type="dxa"/>
            <w:tcBorders>
              <w:top w:val="single" w:color="auto" w:sz="4" w:space="0"/>
              <w:left w:val="single" w:color="auto" w:sz="4" w:space="0"/>
              <w:bottom w:val="single" w:color="auto" w:sz="4" w:space="0"/>
              <w:right w:val="single" w:color="auto" w:sz="4" w:space="0"/>
            </w:tcBorders>
            <w:vAlign w:val="center"/>
          </w:tcPr>
          <w:p w14:paraId="1B7CC980">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6</w:t>
            </w:r>
          </w:p>
        </w:tc>
      </w:tr>
      <w:tr w14:paraId="552F6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656" w:type="dxa"/>
            <w:tcBorders>
              <w:top w:val="single" w:color="auto" w:sz="4" w:space="0"/>
              <w:left w:val="single" w:color="auto" w:sz="4" w:space="0"/>
              <w:bottom w:val="single" w:color="auto" w:sz="4" w:space="0"/>
              <w:right w:val="single" w:color="auto" w:sz="4" w:space="0"/>
            </w:tcBorders>
            <w:vAlign w:val="center"/>
          </w:tcPr>
          <w:p w14:paraId="764F3BB3">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第</w:t>
            </w:r>
          </w:p>
          <w:p w14:paraId="03375951">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七</w:t>
            </w:r>
          </w:p>
          <w:p w14:paraId="7790BFF4">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章</w:t>
            </w:r>
          </w:p>
        </w:tc>
        <w:tc>
          <w:tcPr>
            <w:tcW w:w="1161" w:type="dxa"/>
            <w:tcBorders>
              <w:top w:val="single" w:color="auto" w:sz="4" w:space="0"/>
              <w:left w:val="single" w:color="auto" w:sz="4" w:space="0"/>
              <w:bottom w:val="single" w:color="auto" w:sz="4" w:space="0"/>
              <w:right w:val="single" w:color="auto" w:sz="4" w:space="0"/>
            </w:tcBorders>
            <w:vAlign w:val="center"/>
          </w:tcPr>
          <w:p w14:paraId="03FEB0DE">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工资、薪酬</w:t>
            </w:r>
          </w:p>
          <w:p w14:paraId="08A3DF81">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计算</w:t>
            </w:r>
          </w:p>
          <w:p w14:paraId="53EED91E">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与核算</w:t>
            </w:r>
          </w:p>
        </w:tc>
        <w:tc>
          <w:tcPr>
            <w:tcW w:w="3877" w:type="dxa"/>
            <w:tcBorders>
              <w:top w:val="single" w:color="auto" w:sz="4" w:space="0"/>
              <w:left w:val="single" w:color="auto" w:sz="4" w:space="0"/>
              <w:bottom w:val="single" w:color="auto" w:sz="4" w:space="0"/>
              <w:right w:val="single" w:color="auto" w:sz="4" w:space="0"/>
            </w:tcBorders>
            <w:vAlign w:val="center"/>
          </w:tcPr>
          <w:p w14:paraId="22C29561">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1.熟悉职工薪酬的主要内容；</w:t>
            </w:r>
          </w:p>
          <w:p w14:paraId="615A0FC7">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2.熟悉应付职工薪酬账户结构，能进行职工薪酬分配、发放和职工医药费报销的会计核算；</w:t>
            </w:r>
          </w:p>
          <w:p w14:paraId="3BD2B916">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3.熟悉其他应付款的核算内容；能进行其他应付款的会计核算。</w:t>
            </w:r>
          </w:p>
        </w:tc>
        <w:tc>
          <w:tcPr>
            <w:tcW w:w="3308" w:type="dxa"/>
            <w:tcBorders>
              <w:top w:val="single" w:color="auto" w:sz="4" w:space="0"/>
              <w:left w:val="single" w:color="auto" w:sz="4" w:space="0"/>
              <w:bottom w:val="single" w:color="auto" w:sz="4" w:space="0"/>
              <w:right w:val="single" w:color="auto" w:sz="4" w:space="0"/>
            </w:tcBorders>
            <w:vAlign w:val="center"/>
          </w:tcPr>
          <w:p w14:paraId="692687F1">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1.工资薪酬的核算</w:t>
            </w:r>
          </w:p>
          <w:p w14:paraId="64E57EAA">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结合课程内容和教学进度，设计相应的计算分析题，通过模拟操作使学生掌握本月应发工资、实发工资、代扣款项的计算及工资结算和分配的账务处理。</w:t>
            </w:r>
          </w:p>
        </w:tc>
        <w:tc>
          <w:tcPr>
            <w:tcW w:w="656" w:type="dxa"/>
            <w:tcBorders>
              <w:top w:val="single" w:color="auto" w:sz="4" w:space="0"/>
              <w:left w:val="single" w:color="auto" w:sz="4" w:space="0"/>
              <w:bottom w:val="single" w:color="auto" w:sz="4" w:space="0"/>
              <w:right w:val="single" w:color="auto" w:sz="4" w:space="0"/>
            </w:tcBorders>
            <w:vAlign w:val="center"/>
          </w:tcPr>
          <w:p w14:paraId="2D1E110C">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6</w:t>
            </w:r>
          </w:p>
        </w:tc>
      </w:tr>
      <w:tr w14:paraId="6A87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656" w:type="dxa"/>
            <w:tcBorders>
              <w:top w:val="single" w:color="auto" w:sz="4" w:space="0"/>
              <w:left w:val="single" w:color="auto" w:sz="4" w:space="0"/>
              <w:bottom w:val="single" w:color="auto" w:sz="4" w:space="0"/>
              <w:right w:val="single" w:color="auto" w:sz="4" w:space="0"/>
            </w:tcBorders>
            <w:vAlign w:val="center"/>
          </w:tcPr>
          <w:p w14:paraId="666157CA">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第</w:t>
            </w:r>
          </w:p>
          <w:p w14:paraId="0FA38685">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七</w:t>
            </w:r>
          </w:p>
          <w:p w14:paraId="6E72F3B0">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章</w:t>
            </w:r>
          </w:p>
        </w:tc>
        <w:tc>
          <w:tcPr>
            <w:tcW w:w="1161" w:type="dxa"/>
            <w:tcBorders>
              <w:top w:val="single" w:color="auto" w:sz="4" w:space="0"/>
              <w:left w:val="single" w:color="auto" w:sz="4" w:space="0"/>
              <w:bottom w:val="single" w:color="auto" w:sz="4" w:space="0"/>
              <w:right w:val="single" w:color="auto" w:sz="4" w:space="0"/>
            </w:tcBorders>
            <w:vAlign w:val="center"/>
          </w:tcPr>
          <w:p w14:paraId="620E989B">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应交</w:t>
            </w:r>
          </w:p>
          <w:p w14:paraId="4239F982">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税费</w:t>
            </w:r>
          </w:p>
          <w:p w14:paraId="232C13C5">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核算</w:t>
            </w:r>
          </w:p>
        </w:tc>
        <w:tc>
          <w:tcPr>
            <w:tcW w:w="3877" w:type="dxa"/>
            <w:tcBorders>
              <w:top w:val="single" w:color="auto" w:sz="4" w:space="0"/>
              <w:left w:val="single" w:color="auto" w:sz="4" w:space="0"/>
              <w:bottom w:val="single" w:color="auto" w:sz="4" w:space="0"/>
              <w:right w:val="single" w:color="auto" w:sz="4" w:space="0"/>
            </w:tcBorders>
            <w:vAlign w:val="center"/>
          </w:tcPr>
          <w:p w14:paraId="5C76F354">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1.熟悉应交税费的主要内容和账户设置情况；</w:t>
            </w:r>
          </w:p>
          <w:p w14:paraId="2D7FEB20">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2.了解小规模纳税人增值税的核算方法；</w:t>
            </w:r>
          </w:p>
          <w:p w14:paraId="4A054437">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3.能进行一般纳税人增值税进项税额、销项税额、进项税额转出和已交税金的会计核算；</w:t>
            </w:r>
          </w:p>
          <w:p w14:paraId="729A5627">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4.熟悉营业税、消费税、城市维护建设税、教育费附加等税费的内容；</w:t>
            </w:r>
          </w:p>
          <w:p w14:paraId="29B92318">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5.熟悉营业税金及附加账户结构，能进行营业税、消费税、城市维护建设税、教育费附加等税费的会计核算。</w:t>
            </w:r>
          </w:p>
        </w:tc>
        <w:tc>
          <w:tcPr>
            <w:tcW w:w="3308" w:type="dxa"/>
            <w:tcBorders>
              <w:top w:val="single" w:color="auto" w:sz="4" w:space="0"/>
              <w:left w:val="single" w:color="auto" w:sz="4" w:space="0"/>
              <w:bottom w:val="single" w:color="auto" w:sz="4" w:space="0"/>
              <w:right w:val="single" w:color="auto" w:sz="4" w:space="0"/>
            </w:tcBorders>
            <w:vAlign w:val="center"/>
          </w:tcPr>
          <w:p w14:paraId="330F3D5F">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1.应交税金的计算</w:t>
            </w:r>
          </w:p>
          <w:p w14:paraId="4C8AD068">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结合课程内容和教学进度，设计相应的计算分析题，通过模拟操作使学生掌握增值税、营业税、消费税、城建税及教育费附加的计算。</w:t>
            </w:r>
          </w:p>
          <w:p w14:paraId="59AB757F">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2.应交税金的核算</w:t>
            </w:r>
          </w:p>
          <w:p w14:paraId="00CA8D33">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结合课程内容和教学进度，设计相应的业务案例，使学生掌握计提税金和交纳税金的账务处理。</w:t>
            </w:r>
          </w:p>
        </w:tc>
        <w:tc>
          <w:tcPr>
            <w:tcW w:w="656" w:type="dxa"/>
            <w:tcBorders>
              <w:top w:val="single" w:color="auto" w:sz="4" w:space="0"/>
              <w:left w:val="single" w:color="auto" w:sz="4" w:space="0"/>
              <w:bottom w:val="single" w:color="auto" w:sz="4" w:space="0"/>
              <w:right w:val="single" w:color="auto" w:sz="4" w:space="0"/>
            </w:tcBorders>
            <w:vAlign w:val="center"/>
          </w:tcPr>
          <w:p w14:paraId="2CC94FF7">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12</w:t>
            </w:r>
          </w:p>
        </w:tc>
      </w:tr>
      <w:tr w14:paraId="552B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656" w:type="dxa"/>
            <w:tcBorders>
              <w:top w:val="single" w:color="auto" w:sz="4" w:space="0"/>
              <w:left w:val="single" w:color="auto" w:sz="4" w:space="0"/>
              <w:bottom w:val="single" w:color="auto" w:sz="4" w:space="0"/>
              <w:right w:val="single" w:color="auto" w:sz="4" w:space="0"/>
            </w:tcBorders>
            <w:vAlign w:val="center"/>
          </w:tcPr>
          <w:p w14:paraId="5DF99E15">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第</w:t>
            </w:r>
          </w:p>
          <w:p w14:paraId="6A08E99D">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七</w:t>
            </w:r>
          </w:p>
          <w:p w14:paraId="40CADE79">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章</w:t>
            </w:r>
          </w:p>
        </w:tc>
        <w:tc>
          <w:tcPr>
            <w:tcW w:w="1161" w:type="dxa"/>
            <w:tcBorders>
              <w:top w:val="single" w:color="auto" w:sz="4" w:space="0"/>
              <w:left w:val="single" w:color="auto" w:sz="4" w:space="0"/>
              <w:bottom w:val="single" w:color="auto" w:sz="4" w:space="0"/>
              <w:right w:val="single" w:color="auto" w:sz="4" w:space="0"/>
            </w:tcBorders>
            <w:vAlign w:val="center"/>
          </w:tcPr>
          <w:p w14:paraId="5A04B7F3">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长期</w:t>
            </w:r>
          </w:p>
          <w:p w14:paraId="237FC8CF">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负债的</w:t>
            </w:r>
          </w:p>
          <w:p w14:paraId="6B755177">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核算</w:t>
            </w:r>
          </w:p>
        </w:tc>
        <w:tc>
          <w:tcPr>
            <w:tcW w:w="3877" w:type="dxa"/>
            <w:tcBorders>
              <w:top w:val="single" w:color="auto" w:sz="4" w:space="0"/>
              <w:left w:val="single" w:color="auto" w:sz="4" w:space="0"/>
              <w:bottom w:val="single" w:color="auto" w:sz="4" w:space="0"/>
              <w:right w:val="single" w:color="auto" w:sz="4" w:space="0"/>
            </w:tcBorders>
            <w:vAlign w:val="center"/>
          </w:tcPr>
          <w:p w14:paraId="21C7CFD3">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1.了解长期借款的特征和核算；</w:t>
            </w:r>
          </w:p>
          <w:p w14:paraId="6C972D19">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2.了解应付债券的相关概念。</w:t>
            </w:r>
          </w:p>
        </w:tc>
        <w:tc>
          <w:tcPr>
            <w:tcW w:w="3308" w:type="dxa"/>
            <w:tcBorders>
              <w:top w:val="single" w:color="auto" w:sz="4" w:space="0"/>
              <w:left w:val="single" w:color="auto" w:sz="4" w:space="0"/>
              <w:bottom w:val="single" w:color="auto" w:sz="4" w:space="0"/>
              <w:right w:val="single" w:color="auto" w:sz="4" w:space="0"/>
            </w:tcBorders>
            <w:vAlign w:val="center"/>
          </w:tcPr>
          <w:p w14:paraId="631E73AC">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1.长期负债的核算</w:t>
            </w:r>
          </w:p>
          <w:p w14:paraId="2E619FB1">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结合课程内容和教学进度，设计相应的业务案例，通过模拟操作使学生掌握长期借款、应付债券的账务处理。</w:t>
            </w:r>
          </w:p>
        </w:tc>
        <w:tc>
          <w:tcPr>
            <w:tcW w:w="656" w:type="dxa"/>
            <w:tcBorders>
              <w:top w:val="single" w:color="auto" w:sz="4" w:space="0"/>
              <w:left w:val="single" w:color="auto" w:sz="4" w:space="0"/>
              <w:bottom w:val="single" w:color="auto" w:sz="4" w:space="0"/>
              <w:right w:val="single" w:color="auto" w:sz="4" w:space="0"/>
            </w:tcBorders>
            <w:vAlign w:val="center"/>
          </w:tcPr>
          <w:p w14:paraId="5FBD41D1">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2</w:t>
            </w:r>
          </w:p>
        </w:tc>
      </w:tr>
      <w:tr w14:paraId="3A234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656" w:type="dxa"/>
            <w:tcBorders>
              <w:top w:val="single" w:color="auto" w:sz="4" w:space="0"/>
              <w:left w:val="single" w:color="auto" w:sz="4" w:space="0"/>
              <w:bottom w:val="single" w:color="auto" w:sz="4" w:space="0"/>
              <w:right w:val="single" w:color="auto" w:sz="4" w:space="0"/>
            </w:tcBorders>
            <w:vAlign w:val="center"/>
          </w:tcPr>
          <w:p w14:paraId="3D45C91E">
            <w:pPr>
              <w:spacing w:line="580" w:lineRule="exact"/>
              <w:ind w:firstLine="360" w:firstLineChars="200"/>
              <w:rPr>
                <w:rFonts w:asciiTheme="minorEastAsia" w:hAnsiTheme="minorEastAsia" w:cstheme="minorEastAsia"/>
                <w:sz w:val="18"/>
                <w:szCs w:val="18"/>
              </w:rPr>
            </w:pPr>
          </w:p>
          <w:p w14:paraId="2A2E3B63">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第</w:t>
            </w:r>
          </w:p>
          <w:p w14:paraId="2BBCC33E">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八</w:t>
            </w:r>
          </w:p>
          <w:p w14:paraId="303697A6">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章</w:t>
            </w:r>
          </w:p>
          <w:p w14:paraId="04729CFA">
            <w:pPr>
              <w:spacing w:line="580" w:lineRule="exact"/>
              <w:ind w:firstLine="360" w:firstLineChars="200"/>
              <w:rPr>
                <w:rFonts w:asciiTheme="minorEastAsia" w:hAnsiTheme="minorEastAsia" w:cstheme="minorEastAsia"/>
                <w:sz w:val="18"/>
                <w:szCs w:val="18"/>
              </w:rPr>
            </w:pPr>
          </w:p>
        </w:tc>
        <w:tc>
          <w:tcPr>
            <w:tcW w:w="1161" w:type="dxa"/>
            <w:tcBorders>
              <w:top w:val="single" w:color="auto" w:sz="4" w:space="0"/>
              <w:left w:val="single" w:color="auto" w:sz="4" w:space="0"/>
              <w:bottom w:val="single" w:color="auto" w:sz="4" w:space="0"/>
              <w:right w:val="single" w:color="auto" w:sz="4" w:space="0"/>
            </w:tcBorders>
            <w:vAlign w:val="center"/>
          </w:tcPr>
          <w:p w14:paraId="253092DD">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所有者权益核算</w:t>
            </w:r>
          </w:p>
        </w:tc>
        <w:tc>
          <w:tcPr>
            <w:tcW w:w="3877" w:type="dxa"/>
            <w:tcBorders>
              <w:top w:val="single" w:color="auto" w:sz="4" w:space="0"/>
              <w:left w:val="single" w:color="auto" w:sz="4" w:space="0"/>
              <w:bottom w:val="single" w:color="auto" w:sz="4" w:space="0"/>
              <w:right w:val="single" w:color="auto" w:sz="4" w:space="0"/>
            </w:tcBorders>
            <w:vAlign w:val="center"/>
          </w:tcPr>
          <w:p w14:paraId="1B2D2AD4">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1.熟悉所有者权益的含义及内容；实收资本及股本的概念；</w:t>
            </w:r>
          </w:p>
          <w:p w14:paraId="5DBF518B">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2.能进行企业收到现金资产和非现金资产投资的会计核算；</w:t>
            </w:r>
          </w:p>
          <w:p w14:paraId="29A79F40">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3.熟悉资本公积的内容、来源和用途；</w:t>
            </w:r>
          </w:p>
          <w:p w14:paraId="70D109EA">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4.能进行资本溢价和资本公积转增资本的核算；</w:t>
            </w:r>
          </w:p>
          <w:p w14:paraId="247518F7">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5.熟悉留存收益的内容；</w:t>
            </w:r>
          </w:p>
          <w:p w14:paraId="0E34F434">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6.熟悉盈余公积的内容、来源和用途；能进行提取法定盈余公积、提取任意盈余公积、提取公益金和盈余公积转增资本的核算；</w:t>
            </w:r>
          </w:p>
          <w:p w14:paraId="2BEEB579">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7.了解未分配利润的核算。</w:t>
            </w:r>
          </w:p>
        </w:tc>
        <w:tc>
          <w:tcPr>
            <w:tcW w:w="3308" w:type="dxa"/>
            <w:tcBorders>
              <w:top w:val="single" w:color="auto" w:sz="4" w:space="0"/>
              <w:left w:val="single" w:color="auto" w:sz="4" w:space="0"/>
              <w:bottom w:val="single" w:color="auto" w:sz="4" w:space="0"/>
              <w:right w:val="single" w:color="auto" w:sz="4" w:space="0"/>
            </w:tcBorders>
            <w:vAlign w:val="center"/>
          </w:tcPr>
          <w:p w14:paraId="469B1DC8">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1.所有者权益的核算</w:t>
            </w:r>
          </w:p>
          <w:p w14:paraId="2AED52AC">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结合课程内容和教学进度，设计相应的业务案例，通过模拟训练使学生掌握实收资本、资本公积和盈余公积的账务处理。</w:t>
            </w:r>
          </w:p>
        </w:tc>
        <w:tc>
          <w:tcPr>
            <w:tcW w:w="656" w:type="dxa"/>
            <w:tcBorders>
              <w:top w:val="single" w:color="auto" w:sz="4" w:space="0"/>
              <w:left w:val="single" w:color="auto" w:sz="4" w:space="0"/>
              <w:bottom w:val="single" w:color="auto" w:sz="4" w:space="0"/>
              <w:right w:val="single" w:color="auto" w:sz="4" w:space="0"/>
            </w:tcBorders>
            <w:vAlign w:val="center"/>
          </w:tcPr>
          <w:p w14:paraId="5883022C">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6</w:t>
            </w:r>
          </w:p>
        </w:tc>
      </w:tr>
      <w:tr w14:paraId="65311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656" w:type="dxa"/>
            <w:tcBorders>
              <w:top w:val="single" w:color="auto" w:sz="4" w:space="0"/>
              <w:left w:val="single" w:color="auto" w:sz="4" w:space="0"/>
              <w:bottom w:val="single" w:color="auto" w:sz="4" w:space="0"/>
              <w:right w:val="single" w:color="auto" w:sz="4" w:space="0"/>
            </w:tcBorders>
            <w:vAlign w:val="center"/>
          </w:tcPr>
          <w:p w14:paraId="41DD82FB">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第</w:t>
            </w:r>
          </w:p>
          <w:p w14:paraId="1CFFB78F">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九</w:t>
            </w:r>
          </w:p>
          <w:p w14:paraId="1EEC0327">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章</w:t>
            </w:r>
          </w:p>
          <w:p w14:paraId="5B89E369">
            <w:pPr>
              <w:spacing w:line="580" w:lineRule="exact"/>
              <w:ind w:firstLine="360" w:firstLineChars="200"/>
              <w:rPr>
                <w:rFonts w:asciiTheme="minorEastAsia" w:hAnsiTheme="minorEastAsia" w:cstheme="minorEastAsia"/>
                <w:sz w:val="18"/>
                <w:szCs w:val="18"/>
              </w:rPr>
            </w:pPr>
          </w:p>
          <w:p w14:paraId="27A48B09">
            <w:pPr>
              <w:spacing w:line="580" w:lineRule="exact"/>
              <w:ind w:firstLine="360" w:firstLineChars="200"/>
              <w:rPr>
                <w:rFonts w:asciiTheme="minorEastAsia" w:hAnsiTheme="minorEastAsia" w:cstheme="minorEastAsia"/>
                <w:sz w:val="18"/>
                <w:szCs w:val="18"/>
              </w:rPr>
            </w:pPr>
          </w:p>
        </w:tc>
        <w:tc>
          <w:tcPr>
            <w:tcW w:w="1161" w:type="dxa"/>
            <w:tcBorders>
              <w:top w:val="single" w:color="auto" w:sz="4" w:space="0"/>
              <w:left w:val="single" w:color="auto" w:sz="4" w:space="0"/>
              <w:bottom w:val="single" w:color="auto" w:sz="4" w:space="0"/>
              <w:right w:val="single" w:color="auto" w:sz="4" w:space="0"/>
            </w:tcBorders>
            <w:vAlign w:val="center"/>
          </w:tcPr>
          <w:p w14:paraId="3C03DA6B">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收入费用核算</w:t>
            </w:r>
          </w:p>
        </w:tc>
        <w:tc>
          <w:tcPr>
            <w:tcW w:w="3877" w:type="dxa"/>
            <w:tcBorders>
              <w:top w:val="single" w:color="auto" w:sz="4" w:space="0"/>
              <w:left w:val="single" w:color="auto" w:sz="4" w:space="0"/>
              <w:bottom w:val="single" w:color="auto" w:sz="4" w:space="0"/>
              <w:right w:val="single" w:color="auto" w:sz="4" w:space="0"/>
            </w:tcBorders>
            <w:vAlign w:val="center"/>
          </w:tcPr>
          <w:p w14:paraId="10C675EC">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1.熟悉收入的特点和分类；</w:t>
            </w:r>
          </w:p>
          <w:p w14:paraId="4184833B">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2.能进行一般销售商品、带有折扣商品销售、分期收款发出商品销售、预收货款销售中主营业务收入和主营业务成本的核算；</w:t>
            </w:r>
          </w:p>
          <w:p w14:paraId="30F1FAF2">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3.能进行商品销售折让的核算；</w:t>
            </w:r>
          </w:p>
          <w:p w14:paraId="4B87ABDB">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4.能进行当期商品销售退回的核算；</w:t>
            </w:r>
          </w:p>
          <w:p w14:paraId="500980D2">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5.能进行多余原材料销售中其他业务收入和其他业务成本的核算；</w:t>
            </w:r>
          </w:p>
          <w:p w14:paraId="5934BEFC">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6.熟悉期间费用（管理费用、销售费用和财务费用）的特点和主要内容；能进行期间费用的核算。</w:t>
            </w:r>
          </w:p>
        </w:tc>
        <w:tc>
          <w:tcPr>
            <w:tcW w:w="3308" w:type="dxa"/>
            <w:tcBorders>
              <w:top w:val="single" w:color="auto" w:sz="4" w:space="0"/>
              <w:left w:val="single" w:color="auto" w:sz="4" w:space="0"/>
              <w:bottom w:val="single" w:color="auto" w:sz="4" w:space="0"/>
              <w:right w:val="single" w:color="auto" w:sz="4" w:space="0"/>
            </w:tcBorders>
            <w:vAlign w:val="center"/>
          </w:tcPr>
          <w:p w14:paraId="6E11BCAF">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1.收入的核算</w:t>
            </w:r>
          </w:p>
          <w:p w14:paraId="73789C5A">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结合课程内容和教学进度，设计相应的业务案例，通过模拟训练使学生掌握主营业务收入、其他业务收入的账务处理。</w:t>
            </w:r>
          </w:p>
          <w:p w14:paraId="0C74DEE2">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2.成本、费用的核算</w:t>
            </w:r>
          </w:p>
          <w:p w14:paraId="7BFE3029">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结合课程内容和教学进度，设计相应的业务案例，通过模拟训练使学生掌握管理费用、销售费用、财务费用、主营业务成本、其他业务成本的账务处理。</w:t>
            </w:r>
          </w:p>
        </w:tc>
        <w:tc>
          <w:tcPr>
            <w:tcW w:w="656" w:type="dxa"/>
            <w:tcBorders>
              <w:top w:val="single" w:color="auto" w:sz="4" w:space="0"/>
              <w:left w:val="single" w:color="auto" w:sz="4" w:space="0"/>
              <w:bottom w:val="single" w:color="auto" w:sz="4" w:space="0"/>
              <w:right w:val="single" w:color="auto" w:sz="4" w:space="0"/>
            </w:tcBorders>
            <w:vAlign w:val="center"/>
          </w:tcPr>
          <w:p w14:paraId="5E5D74E4">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14</w:t>
            </w:r>
          </w:p>
        </w:tc>
      </w:tr>
      <w:tr w14:paraId="1CBAB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656" w:type="dxa"/>
            <w:tcBorders>
              <w:top w:val="single" w:color="auto" w:sz="4" w:space="0"/>
              <w:left w:val="single" w:color="auto" w:sz="4" w:space="0"/>
              <w:bottom w:val="single" w:color="auto" w:sz="4" w:space="0"/>
              <w:right w:val="single" w:color="auto" w:sz="4" w:space="0"/>
            </w:tcBorders>
            <w:vAlign w:val="center"/>
          </w:tcPr>
          <w:p w14:paraId="7409AE2E">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第</w:t>
            </w:r>
          </w:p>
          <w:p w14:paraId="3514CE5E">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九</w:t>
            </w:r>
          </w:p>
          <w:p w14:paraId="68E01106">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章</w:t>
            </w:r>
          </w:p>
        </w:tc>
        <w:tc>
          <w:tcPr>
            <w:tcW w:w="1161" w:type="dxa"/>
            <w:tcBorders>
              <w:top w:val="single" w:color="auto" w:sz="4" w:space="0"/>
              <w:left w:val="single" w:color="auto" w:sz="4" w:space="0"/>
              <w:bottom w:val="single" w:color="auto" w:sz="4" w:space="0"/>
              <w:right w:val="single" w:color="auto" w:sz="4" w:space="0"/>
            </w:tcBorders>
            <w:vAlign w:val="center"/>
          </w:tcPr>
          <w:p w14:paraId="0CBD78E0">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利润</w:t>
            </w:r>
          </w:p>
          <w:p w14:paraId="5E93119C">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核算</w:t>
            </w:r>
          </w:p>
        </w:tc>
        <w:tc>
          <w:tcPr>
            <w:tcW w:w="3877" w:type="dxa"/>
            <w:tcBorders>
              <w:top w:val="single" w:color="auto" w:sz="4" w:space="0"/>
              <w:left w:val="single" w:color="auto" w:sz="4" w:space="0"/>
              <w:bottom w:val="single" w:color="auto" w:sz="4" w:space="0"/>
              <w:right w:val="single" w:color="auto" w:sz="4" w:space="0"/>
            </w:tcBorders>
            <w:vAlign w:val="center"/>
          </w:tcPr>
          <w:p w14:paraId="3D24A916">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1.熟悉各项利润指标及其构成；</w:t>
            </w:r>
          </w:p>
          <w:p w14:paraId="212D92B2">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2.熟悉营业外收入和营业外支出的核算内容；</w:t>
            </w:r>
          </w:p>
          <w:p w14:paraId="6D25634B">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3.理解应交所得税的计算；</w:t>
            </w:r>
          </w:p>
          <w:p w14:paraId="15DBF4E7">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4.能进行不涉及纳税调整的所得税费用提取和结转的会计核算；</w:t>
            </w:r>
          </w:p>
          <w:p w14:paraId="46056110">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5.能进行收入、费用结转和本年利润结转的会计核算；</w:t>
            </w:r>
          </w:p>
          <w:p w14:paraId="6801457C">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6.了解利润分配的相关知识和未分配利润的结转核算。</w:t>
            </w:r>
          </w:p>
        </w:tc>
        <w:tc>
          <w:tcPr>
            <w:tcW w:w="3308" w:type="dxa"/>
            <w:tcBorders>
              <w:top w:val="single" w:color="auto" w:sz="4" w:space="0"/>
              <w:left w:val="single" w:color="auto" w:sz="4" w:space="0"/>
              <w:bottom w:val="single" w:color="auto" w:sz="4" w:space="0"/>
              <w:right w:val="single" w:color="auto" w:sz="4" w:space="0"/>
            </w:tcBorders>
            <w:vAlign w:val="center"/>
          </w:tcPr>
          <w:p w14:paraId="2CF953CD">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1.利润的核算</w:t>
            </w:r>
          </w:p>
          <w:p w14:paraId="445F36C3">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结合课程内容和教学进度，设计相应的业务案例，通过模拟训练使学生掌握营业外收入、营业外支出、应交所得税、收支结转、本年利润结转、利润分配和未分配利润结转的账务处理。</w:t>
            </w:r>
          </w:p>
        </w:tc>
        <w:tc>
          <w:tcPr>
            <w:tcW w:w="656" w:type="dxa"/>
            <w:tcBorders>
              <w:top w:val="single" w:color="auto" w:sz="4" w:space="0"/>
              <w:left w:val="single" w:color="auto" w:sz="4" w:space="0"/>
              <w:bottom w:val="single" w:color="auto" w:sz="4" w:space="0"/>
              <w:right w:val="single" w:color="auto" w:sz="4" w:space="0"/>
            </w:tcBorders>
            <w:vAlign w:val="center"/>
          </w:tcPr>
          <w:p w14:paraId="2AEA0F02">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12</w:t>
            </w:r>
          </w:p>
        </w:tc>
      </w:tr>
      <w:tr w14:paraId="510D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656" w:type="dxa"/>
            <w:tcBorders>
              <w:top w:val="single" w:color="auto" w:sz="4" w:space="0"/>
              <w:left w:val="single" w:color="auto" w:sz="4" w:space="0"/>
              <w:bottom w:val="single" w:color="auto" w:sz="4" w:space="0"/>
              <w:right w:val="single" w:color="auto" w:sz="4" w:space="0"/>
            </w:tcBorders>
            <w:vAlign w:val="center"/>
          </w:tcPr>
          <w:p w14:paraId="786720F7">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第</w:t>
            </w:r>
          </w:p>
          <w:p w14:paraId="67BBEAD4">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十</w:t>
            </w:r>
          </w:p>
          <w:p w14:paraId="457F68B5">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章</w:t>
            </w:r>
          </w:p>
          <w:p w14:paraId="34DE41FD">
            <w:pPr>
              <w:spacing w:line="580" w:lineRule="exact"/>
              <w:ind w:firstLine="360" w:firstLineChars="200"/>
              <w:rPr>
                <w:rFonts w:asciiTheme="minorEastAsia" w:hAnsiTheme="minorEastAsia" w:cstheme="minorEastAsia"/>
                <w:sz w:val="18"/>
                <w:szCs w:val="18"/>
              </w:rPr>
            </w:pPr>
          </w:p>
        </w:tc>
        <w:tc>
          <w:tcPr>
            <w:tcW w:w="1161" w:type="dxa"/>
            <w:tcBorders>
              <w:top w:val="single" w:color="auto" w:sz="4" w:space="0"/>
              <w:left w:val="single" w:color="auto" w:sz="4" w:space="0"/>
              <w:bottom w:val="single" w:color="auto" w:sz="4" w:space="0"/>
              <w:right w:val="single" w:color="auto" w:sz="4" w:space="0"/>
            </w:tcBorders>
            <w:vAlign w:val="center"/>
          </w:tcPr>
          <w:p w14:paraId="4237F7A5">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编制报表</w:t>
            </w:r>
          </w:p>
        </w:tc>
        <w:tc>
          <w:tcPr>
            <w:tcW w:w="3877" w:type="dxa"/>
            <w:tcBorders>
              <w:top w:val="single" w:color="auto" w:sz="4" w:space="0"/>
              <w:left w:val="single" w:color="auto" w:sz="4" w:space="0"/>
              <w:bottom w:val="single" w:color="auto" w:sz="4" w:space="0"/>
              <w:right w:val="single" w:color="auto" w:sz="4" w:space="0"/>
            </w:tcBorders>
            <w:vAlign w:val="center"/>
          </w:tcPr>
          <w:p w14:paraId="21FB9463">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1.熟悉财务会计报告的构成及编制要求；</w:t>
            </w:r>
          </w:p>
          <w:p w14:paraId="2DE3640C">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2.熟悉资产负债表、利润表的结构内容、编制依据和编制方法；</w:t>
            </w:r>
          </w:p>
          <w:p w14:paraId="505244C7">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3.会进行资产负债表；利润表的编制。</w:t>
            </w:r>
          </w:p>
        </w:tc>
        <w:tc>
          <w:tcPr>
            <w:tcW w:w="3308" w:type="dxa"/>
            <w:tcBorders>
              <w:top w:val="single" w:color="auto" w:sz="4" w:space="0"/>
              <w:left w:val="single" w:color="auto" w:sz="4" w:space="0"/>
              <w:bottom w:val="single" w:color="auto" w:sz="4" w:space="0"/>
              <w:right w:val="single" w:color="auto" w:sz="4" w:space="0"/>
            </w:tcBorders>
            <w:vAlign w:val="center"/>
          </w:tcPr>
          <w:p w14:paraId="273D84F7">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1.编制资产负债表</w:t>
            </w:r>
          </w:p>
          <w:p w14:paraId="36522BE5">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提供案例资料，在教师指导下，边学边做，掌握编制资产负债表的基本技能。</w:t>
            </w:r>
          </w:p>
          <w:p w14:paraId="2D11CA09">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2.编制利润表</w:t>
            </w:r>
          </w:p>
          <w:p w14:paraId="3BDB2591">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提供案例资料，在教师指导下，边学边做，掌握编制利润表的基本技能。</w:t>
            </w:r>
          </w:p>
        </w:tc>
        <w:tc>
          <w:tcPr>
            <w:tcW w:w="656" w:type="dxa"/>
            <w:tcBorders>
              <w:top w:val="single" w:color="auto" w:sz="4" w:space="0"/>
              <w:left w:val="single" w:color="auto" w:sz="4" w:space="0"/>
              <w:bottom w:val="single" w:color="auto" w:sz="4" w:space="0"/>
              <w:right w:val="single" w:color="auto" w:sz="4" w:space="0"/>
            </w:tcBorders>
            <w:vAlign w:val="center"/>
          </w:tcPr>
          <w:p w14:paraId="2557F616">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6</w:t>
            </w:r>
          </w:p>
        </w:tc>
      </w:tr>
      <w:tr w14:paraId="18276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656" w:type="dxa"/>
            <w:tcBorders>
              <w:top w:val="single" w:color="auto" w:sz="4" w:space="0"/>
              <w:left w:val="single" w:color="auto" w:sz="4" w:space="0"/>
              <w:bottom w:val="single" w:color="auto" w:sz="4" w:space="0"/>
              <w:right w:val="single" w:color="auto" w:sz="4" w:space="0"/>
            </w:tcBorders>
            <w:vAlign w:val="center"/>
          </w:tcPr>
          <w:p w14:paraId="44A79201">
            <w:pPr>
              <w:spacing w:line="580" w:lineRule="exact"/>
              <w:ind w:firstLine="360" w:firstLineChars="200"/>
              <w:rPr>
                <w:rFonts w:asciiTheme="minorEastAsia" w:hAnsiTheme="minorEastAsia" w:cstheme="minorEastAsia"/>
                <w:sz w:val="18"/>
                <w:szCs w:val="18"/>
              </w:rPr>
            </w:pPr>
          </w:p>
        </w:tc>
        <w:tc>
          <w:tcPr>
            <w:tcW w:w="1161" w:type="dxa"/>
            <w:tcBorders>
              <w:top w:val="single" w:color="auto" w:sz="4" w:space="0"/>
              <w:left w:val="single" w:color="auto" w:sz="4" w:space="0"/>
              <w:bottom w:val="single" w:color="auto" w:sz="4" w:space="0"/>
              <w:right w:val="single" w:color="auto" w:sz="4" w:space="0"/>
            </w:tcBorders>
            <w:vAlign w:val="center"/>
          </w:tcPr>
          <w:p w14:paraId="76D46430">
            <w:pPr>
              <w:spacing w:line="580" w:lineRule="exact"/>
              <w:ind w:firstLine="360" w:firstLineChars="200"/>
              <w:rPr>
                <w:rFonts w:asciiTheme="minorEastAsia" w:hAnsiTheme="minorEastAsia" w:cstheme="minorEastAsia"/>
                <w:sz w:val="18"/>
                <w:szCs w:val="18"/>
              </w:rPr>
            </w:pPr>
          </w:p>
        </w:tc>
        <w:tc>
          <w:tcPr>
            <w:tcW w:w="3877" w:type="dxa"/>
            <w:tcBorders>
              <w:top w:val="single" w:color="auto" w:sz="4" w:space="0"/>
              <w:left w:val="single" w:color="auto" w:sz="4" w:space="0"/>
              <w:bottom w:val="single" w:color="auto" w:sz="4" w:space="0"/>
              <w:right w:val="single" w:color="auto" w:sz="4" w:space="0"/>
            </w:tcBorders>
            <w:vAlign w:val="center"/>
          </w:tcPr>
          <w:p w14:paraId="528264A4">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考核评价</w:t>
            </w:r>
          </w:p>
        </w:tc>
        <w:tc>
          <w:tcPr>
            <w:tcW w:w="3308" w:type="dxa"/>
            <w:tcBorders>
              <w:top w:val="single" w:color="auto" w:sz="4" w:space="0"/>
              <w:left w:val="single" w:color="auto" w:sz="4" w:space="0"/>
              <w:bottom w:val="single" w:color="auto" w:sz="4" w:space="0"/>
              <w:right w:val="single" w:color="auto" w:sz="4" w:space="0"/>
            </w:tcBorders>
            <w:vAlign w:val="center"/>
          </w:tcPr>
          <w:p w14:paraId="6FBD09A2">
            <w:pPr>
              <w:spacing w:line="580" w:lineRule="exact"/>
              <w:ind w:firstLine="360" w:firstLineChars="200"/>
              <w:rPr>
                <w:rFonts w:asciiTheme="minorEastAsia" w:hAnsiTheme="minorEastAsia" w:cstheme="minorEastAsia"/>
                <w:sz w:val="18"/>
                <w:szCs w:val="18"/>
              </w:rPr>
            </w:pPr>
          </w:p>
        </w:tc>
        <w:tc>
          <w:tcPr>
            <w:tcW w:w="656" w:type="dxa"/>
            <w:tcBorders>
              <w:top w:val="single" w:color="auto" w:sz="4" w:space="0"/>
              <w:left w:val="single" w:color="auto" w:sz="4" w:space="0"/>
              <w:bottom w:val="single" w:color="auto" w:sz="4" w:space="0"/>
              <w:right w:val="single" w:color="auto" w:sz="4" w:space="0"/>
            </w:tcBorders>
            <w:vAlign w:val="center"/>
          </w:tcPr>
          <w:p w14:paraId="388474DE">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6</w:t>
            </w:r>
          </w:p>
        </w:tc>
      </w:tr>
    </w:tbl>
    <w:p w14:paraId="18919187">
      <w:pPr>
        <w:autoSpaceDE w:val="0"/>
        <w:autoSpaceDN w:val="0"/>
        <w:adjustRightInd w:val="0"/>
        <w:spacing w:line="580" w:lineRule="exact"/>
        <w:jc w:val="left"/>
        <w:rPr>
          <w:rFonts w:ascii="宋体" w:hAnsi="宋体" w:cs="宋体"/>
          <w:b/>
          <w:kern w:val="0"/>
          <w:szCs w:val="21"/>
        </w:rPr>
      </w:pPr>
    </w:p>
    <w:p w14:paraId="136A7754">
      <w:pPr>
        <w:spacing w:line="580" w:lineRule="exact"/>
      </w:pPr>
    </w:p>
    <w:p w14:paraId="2E3FBAC0">
      <w:pPr>
        <w:spacing w:line="580" w:lineRule="exact"/>
        <w:rPr>
          <w:rFonts w:ascii="黑体" w:eastAsia="黑体"/>
          <w:sz w:val="28"/>
          <w:szCs w:val="28"/>
        </w:rPr>
      </w:pPr>
    </w:p>
    <w:p w14:paraId="74643C88">
      <w:pPr>
        <w:spacing w:line="580" w:lineRule="exact"/>
        <w:rPr>
          <w:rFonts w:ascii="黑体" w:eastAsia="黑体"/>
          <w:sz w:val="28"/>
          <w:szCs w:val="28"/>
        </w:rPr>
      </w:pPr>
    </w:p>
    <w:p w14:paraId="552B8478">
      <w:pPr>
        <w:spacing w:line="580" w:lineRule="exact"/>
        <w:jc w:val="left"/>
        <w:rPr>
          <w:rFonts w:ascii="黑体" w:eastAsia="黑体"/>
          <w:bCs/>
          <w:sz w:val="32"/>
          <w:szCs w:val="32"/>
        </w:rPr>
      </w:pPr>
      <w:r>
        <w:rPr>
          <w:rFonts w:hint="eastAsia" w:ascii="黑体" w:eastAsia="黑体"/>
          <w:bCs/>
          <w:sz w:val="32"/>
          <w:szCs w:val="32"/>
        </w:rPr>
        <w:t>八、教学评价建议</w:t>
      </w:r>
    </w:p>
    <w:p w14:paraId="67B04B4B">
      <w:pPr>
        <w:pStyle w:val="34"/>
      </w:pPr>
      <w:r>
        <w:rPr>
          <w:rFonts w:hint="eastAsia"/>
        </w:rPr>
        <w:t>1.突出过程评价与阶段（以工作任务模块为阶段）评价，结合课堂提问、训练活动、阶段测验等进行综合评价。</w:t>
      </w:r>
    </w:p>
    <w:p w14:paraId="6EEA62E8">
      <w:pPr>
        <w:pStyle w:val="34"/>
      </w:pPr>
      <w:r>
        <w:rPr>
          <w:rFonts w:hint="eastAsia"/>
        </w:rPr>
        <w:t>2.强调目标评价和理论与实践一体化评价，引导学生改变死记硬背的学习方式。</w:t>
      </w:r>
    </w:p>
    <w:p w14:paraId="6B150047">
      <w:pPr>
        <w:pStyle w:val="34"/>
      </w:pPr>
      <w:r>
        <w:rPr>
          <w:rFonts w:hint="eastAsia"/>
        </w:rPr>
        <w:t>3.评价时注重学生动手能力和分析、解决问题的能力，对在学习和应用上有创新的学生应在评定时给予鼓励。</w:t>
      </w:r>
    </w:p>
    <w:p w14:paraId="699A5AE2">
      <w:pPr>
        <w:spacing w:line="580" w:lineRule="exact"/>
        <w:jc w:val="left"/>
        <w:rPr>
          <w:rFonts w:ascii="黑体" w:eastAsia="黑体"/>
          <w:bCs/>
          <w:sz w:val="32"/>
          <w:szCs w:val="32"/>
        </w:rPr>
      </w:pPr>
      <w:r>
        <w:rPr>
          <w:rFonts w:hint="eastAsia" w:ascii="黑体" w:eastAsia="黑体"/>
          <w:bCs/>
          <w:sz w:val="32"/>
          <w:szCs w:val="32"/>
        </w:rPr>
        <w:t>九、实施建议</w:t>
      </w:r>
    </w:p>
    <w:p w14:paraId="7C3C7677">
      <w:pPr>
        <w:pStyle w:val="31"/>
      </w:pPr>
      <w:r>
        <w:t>（一）教材建议</w:t>
      </w:r>
    </w:p>
    <w:p w14:paraId="6B8A283E">
      <w:pPr>
        <w:pStyle w:val="34"/>
      </w:pPr>
      <w:r>
        <w:rPr>
          <w:rFonts w:hint="eastAsia"/>
        </w:rPr>
        <w:t>1.必须依据本课程标准编写教材</w:t>
      </w:r>
    </w:p>
    <w:p w14:paraId="32FCF144">
      <w:pPr>
        <w:pStyle w:val="34"/>
      </w:pPr>
      <w:r>
        <w:rPr>
          <w:rFonts w:hint="eastAsia"/>
        </w:rPr>
        <w:t>2.教材应充分体现任务引领、实践导向的课程设计思想，以企业会计岗位业务的各项任务为主线，结合职业技能证书的考核要求，合理安排教材内容。</w:t>
      </w:r>
    </w:p>
    <w:p w14:paraId="59AE274A">
      <w:pPr>
        <w:pStyle w:val="34"/>
      </w:pPr>
      <w:r>
        <w:rPr>
          <w:rFonts w:hint="eastAsia"/>
        </w:rPr>
        <w:t>3.教材在内容上应既实用又开放，注重会计实务操作技能训练，在形式上应适合中职学生的认知特点，文字表述要深入浅出，内容展现应图文并茂。</w:t>
      </w:r>
    </w:p>
    <w:p w14:paraId="332A30FD">
      <w:pPr>
        <w:pStyle w:val="34"/>
      </w:pPr>
      <w:r>
        <w:rPr>
          <w:rFonts w:hint="eastAsia"/>
        </w:rPr>
        <w:t>4.为了提高学生的积极性和主动性，培养学生处理会计要素核算业务的综合职业能力，教材应该根据工作任务的需要设计相应的技能训练活动。各技能训练活动的设计应实用、具体并具有可操作性。</w:t>
      </w:r>
    </w:p>
    <w:p w14:paraId="65930761">
      <w:pPr>
        <w:pStyle w:val="31"/>
      </w:pPr>
      <w:r>
        <w:t>（二）教学建议</w:t>
      </w:r>
    </w:p>
    <w:p w14:paraId="26B1C4E6">
      <w:pPr>
        <w:spacing w:line="580" w:lineRule="exact"/>
        <w:ind w:firstLine="640" w:firstLineChars="200"/>
        <w:rPr>
          <w:rFonts w:ascii="仿宋" w:hAnsi="仿宋" w:eastAsia="仿宋"/>
          <w:sz w:val="32"/>
          <w:szCs w:val="32"/>
        </w:rPr>
      </w:pPr>
      <w:r>
        <w:rPr>
          <w:rFonts w:hint="eastAsia" w:ascii="仿宋" w:hAnsi="仿宋" w:eastAsia="仿宋"/>
          <w:sz w:val="32"/>
          <w:szCs w:val="32"/>
        </w:rPr>
        <w:t>1.教学中，教师必须重视实践经验的学习，重视现代教育技术的运用，尽可能运用现代化、多样化手段实施理论教学和实践指导。</w:t>
      </w:r>
    </w:p>
    <w:p w14:paraId="41955E2B">
      <w:pPr>
        <w:spacing w:line="580" w:lineRule="exact"/>
        <w:ind w:firstLine="640" w:firstLineChars="200"/>
        <w:rPr>
          <w:rFonts w:ascii="仿宋" w:hAnsi="仿宋" w:eastAsia="仿宋"/>
          <w:sz w:val="32"/>
          <w:szCs w:val="32"/>
        </w:rPr>
      </w:pPr>
      <w:r>
        <w:rPr>
          <w:rFonts w:hint="eastAsia" w:ascii="仿宋" w:hAnsi="仿宋" w:eastAsia="仿宋"/>
          <w:sz w:val="32"/>
          <w:szCs w:val="32"/>
        </w:rPr>
        <w:t>2.教学中应突出技能培养目标，注重对学生实际操作能力的训练，强化案例和流程教学，让学生边学边练，以此激发学生学习兴趣，增强教学效果。</w:t>
      </w:r>
    </w:p>
    <w:p w14:paraId="1BF0B655">
      <w:pPr>
        <w:spacing w:line="580" w:lineRule="exact"/>
        <w:ind w:firstLine="640" w:firstLineChars="200"/>
        <w:rPr>
          <w:rFonts w:ascii="仿宋" w:hAnsi="仿宋" w:eastAsia="仿宋"/>
          <w:sz w:val="32"/>
          <w:szCs w:val="32"/>
        </w:rPr>
      </w:pPr>
      <w:r>
        <w:rPr>
          <w:rFonts w:hint="eastAsia" w:ascii="仿宋" w:hAnsi="仿宋" w:eastAsia="仿宋"/>
          <w:sz w:val="32"/>
          <w:szCs w:val="32"/>
        </w:rPr>
        <w:t>3.教学中，应注重充分调动学生学习的积极性和主动性，避免“满堂灌”的传统教学方式，注重教与学的互动，教师与学生的角色转换，让学生在完成教师设计的训练活动中，既学会会计要素核算的各项知识，又练就各项基本技能。</w:t>
      </w:r>
    </w:p>
    <w:p w14:paraId="2CC2EA74">
      <w:pPr>
        <w:spacing w:line="580" w:lineRule="exact"/>
        <w:ind w:firstLine="640" w:firstLineChars="200"/>
        <w:rPr>
          <w:rFonts w:ascii="仿宋" w:hAnsi="仿宋" w:eastAsia="仿宋"/>
          <w:sz w:val="32"/>
          <w:szCs w:val="32"/>
        </w:rPr>
      </w:pPr>
      <w:r>
        <w:rPr>
          <w:rFonts w:hint="eastAsia" w:ascii="仿宋" w:hAnsi="仿宋" w:eastAsia="仿宋"/>
          <w:sz w:val="32"/>
          <w:szCs w:val="32"/>
        </w:rPr>
        <w:t xml:space="preserve">4.教学中，教师应积极引导学生提升职业素养，培养学生热情真诚、诚实守信、善于沟通与合作的品格。 </w:t>
      </w:r>
    </w:p>
    <w:p w14:paraId="0011257A">
      <w:pPr>
        <w:widowControl/>
        <w:jc w:val="left"/>
        <w:rPr>
          <w:rFonts w:ascii="黑体" w:hAnsi="黑体" w:eastAsia="黑体"/>
          <w:sz w:val="36"/>
          <w:szCs w:val="36"/>
        </w:rPr>
      </w:pPr>
      <w:r>
        <w:rPr>
          <w:rFonts w:ascii="黑体" w:hAnsi="黑体" w:eastAsia="黑体"/>
          <w:sz w:val="36"/>
          <w:szCs w:val="36"/>
        </w:rPr>
        <w:br w:type="page"/>
      </w:r>
    </w:p>
    <w:p w14:paraId="34F93A77">
      <w:pPr>
        <w:widowControl/>
        <w:spacing w:line="580" w:lineRule="exact"/>
        <w:jc w:val="center"/>
        <w:rPr>
          <w:rFonts w:ascii="黑体" w:hAnsi="黑体" w:eastAsia="黑体"/>
          <w:sz w:val="36"/>
          <w:szCs w:val="36"/>
        </w:rPr>
      </w:pPr>
    </w:p>
    <w:p w14:paraId="0017042E">
      <w:pPr>
        <w:spacing w:line="580" w:lineRule="exact"/>
        <w:jc w:val="center"/>
        <w:rPr>
          <w:rFonts w:hint="eastAsia" w:ascii="方正小标宋简体" w:eastAsia="方正小标宋简体"/>
          <w:bCs/>
          <w:sz w:val="32"/>
          <w:szCs w:val="32"/>
        </w:rPr>
      </w:pPr>
      <w:r>
        <w:rPr>
          <w:rFonts w:hint="eastAsia" w:ascii="方正小标宋简体" w:eastAsia="方正小标宋简体"/>
          <w:bCs/>
          <w:sz w:val="32"/>
          <w:szCs w:val="32"/>
        </w:rPr>
        <w:t>金融基础课程标准</w:t>
      </w:r>
    </w:p>
    <w:p w14:paraId="7E4C346D">
      <w:pPr>
        <w:spacing w:line="580" w:lineRule="exact"/>
        <w:ind w:firstLine="640" w:firstLineChars="200"/>
        <w:rPr>
          <w:rFonts w:ascii="仿宋" w:hAnsi="仿宋" w:eastAsia="仿宋"/>
          <w:sz w:val="32"/>
          <w:szCs w:val="32"/>
        </w:rPr>
      </w:pPr>
      <w:r>
        <w:rPr>
          <w:rFonts w:hint="eastAsia" w:ascii="仿宋" w:hAnsi="仿宋" w:eastAsia="仿宋"/>
          <w:sz w:val="32"/>
          <w:szCs w:val="32"/>
        </w:rPr>
        <w:t>课程名称：金融基础</w:t>
      </w:r>
    </w:p>
    <w:p w14:paraId="54A36333">
      <w:pPr>
        <w:spacing w:line="580" w:lineRule="exact"/>
        <w:ind w:firstLine="640" w:firstLineChars="200"/>
        <w:rPr>
          <w:rFonts w:ascii="仿宋" w:hAnsi="仿宋" w:eastAsia="仿宋"/>
          <w:sz w:val="32"/>
          <w:szCs w:val="32"/>
        </w:rPr>
      </w:pPr>
      <w:r>
        <w:rPr>
          <w:rFonts w:hint="eastAsia" w:ascii="仿宋" w:hAnsi="仿宋" w:eastAsia="仿宋"/>
          <w:sz w:val="32"/>
          <w:szCs w:val="32"/>
        </w:rPr>
        <w:t>适用专业：中等职业学校会计专业</w:t>
      </w:r>
    </w:p>
    <w:p w14:paraId="3B0721DC">
      <w:pPr>
        <w:spacing w:line="580" w:lineRule="exact"/>
        <w:jc w:val="left"/>
        <w:rPr>
          <w:rFonts w:ascii="黑体" w:eastAsia="黑体"/>
          <w:bCs/>
          <w:sz w:val="32"/>
          <w:szCs w:val="32"/>
        </w:rPr>
      </w:pPr>
      <w:r>
        <w:rPr>
          <w:rFonts w:hint="eastAsia" w:ascii="黑体" w:eastAsia="黑体"/>
          <w:bCs/>
          <w:sz w:val="32"/>
          <w:szCs w:val="32"/>
        </w:rPr>
        <w:t>一、前言</w:t>
      </w:r>
    </w:p>
    <w:p w14:paraId="01B6EA73">
      <w:pPr>
        <w:pStyle w:val="31"/>
      </w:pPr>
      <w:r>
        <w:t>（一）课程性质</w:t>
      </w:r>
    </w:p>
    <w:p w14:paraId="5199A792">
      <w:pPr>
        <w:spacing w:line="580" w:lineRule="exact"/>
        <w:ind w:firstLine="640" w:firstLineChars="200"/>
        <w:rPr>
          <w:rFonts w:ascii="仿宋" w:hAnsi="仿宋" w:eastAsia="仿宋"/>
          <w:sz w:val="32"/>
          <w:szCs w:val="32"/>
        </w:rPr>
      </w:pPr>
      <w:r>
        <w:rPr>
          <w:rFonts w:hint="eastAsia" w:ascii="仿宋" w:hAnsi="仿宋" w:eastAsia="仿宋"/>
          <w:sz w:val="32"/>
          <w:szCs w:val="32"/>
        </w:rPr>
        <w:t>金融基础课程是中等职业学校会计专业的一门专业主干课程，是学生学习银行相关业务的一门专业基础课。其目的在于让学生掌握货币的本质、职能、货币形式发展、货币制度、货币流通；信用、信用形式、信用工具及信用密不可分的利率；金融市场的货币市场、资本市场、黄金、外汇市场；金融机构与金融体系、商业银行及其业务；国际收支、外汇与汇率、外汇管理等内容。</w:t>
      </w:r>
    </w:p>
    <w:p w14:paraId="273384B0">
      <w:pPr>
        <w:pStyle w:val="31"/>
      </w:pPr>
      <w:r>
        <w:t>（二）设计思路</w:t>
      </w:r>
    </w:p>
    <w:p w14:paraId="376C599B">
      <w:pPr>
        <w:spacing w:line="580" w:lineRule="exact"/>
        <w:ind w:firstLine="640" w:firstLineChars="200"/>
        <w:rPr>
          <w:rFonts w:ascii="仿宋" w:hAnsi="仿宋" w:eastAsia="仿宋"/>
          <w:sz w:val="32"/>
          <w:szCs w:val="32"/>
        </w:rPr>
      </w:pPr>
      <w:r>
        <w:rPr>
          <w:rFonts w:hint="eastAsia" w:ascii="仿宋" w:hAnsi="仿宋" w:eastAsia="仿宋"/>
          <w:sz w:val="32"/>
          <w:szCs w:val="32"/>
        </w:rPr>
        <w:t>本课程以引导学生掌握会计的基本知识和基本理论的基础上，按中职生认知特点和所学习的内容，通过教学、参观、请在商业银行第一线人员来介绍、动手练习掌握操作程序和基本技能，以现实工作案例和情景结合课堂教学传授方式来组织学生学习，以培养学生的职业岗位能力和创造能力，为学生学习金融事务专业打下基础，提高学生分析和解决实际问题的能力。</w:t>
      </w:r>
    </w:p>
    <w:p w14:paraId="1AB61B0A">
      <w:pPr>
        <w:spacing w:line="580" w:lineRule="exact"/>
        <w:ind w:firstLine="640" w:firstLineChars="200"/>
        <w:rPr>
          <w:rFonts w:ascii="仿宋" w:hAnsi="仿宋" w:eastAsia="仿宋"/>
          <w:sz w:val="32"/>
          <w:szCs w:val="32"/>
        </w:rPr>
      </w:pPr>
      <w:r>
        <w:rPr>
          <w:rFonts w:hint="eastAsia" w:ascii="仿宋" w:hAnsi="仿宋" w:eastAsia="仿宋"/>
          <w:sz w:val="32"/>
          <w:szCs w:val="32"/>
        </w:rPr>
        <w:t>本课程建议课时数为48节。</w:t>
      </w:r>
    </w:p>
    <w:p w14:paraId="168A4C7F">
      <w:pPr>
        <w:spacing w:line="580" w:lineRule="exact"/>
        <w:jc w:val="left"/>
        <w:rPr>
          <w:rFonts w:ascii="黑体" w:eastAsia="黑体"/>
          <w:bCs/>
          <w:sz w:val="32"/>
          <w:szCs w:val="32"/>
        </w:rPr>
      </w:pPr>
      <w:r>
        <w:rPr>
          <w:rFonts w:hint="eastAsia" w:ascii="黑体" w:eastAsia="黑体"/>
          <w:bCs/>
          <w:sz w:val="32"/>
          <w:szCs w:val="32"/>
        </w:rPr>
        <w:t>二、课程目标</w:t>
      </w:r>
    </w:p>
    <w:p w14:paraId="423A3C80">
      <w:pPr>
        <w:pStyle w:val="31"/>
      </w:pPr>
      <w:r>
        <w:t>（一）掌握知识要点目标</w:t>
      </w:r>
    </w:p>
    <w:p w14:paraId="637026DE">
      <w:pPr>
        <w:pStyle w:val="34"/>
      </w:pPr>
      <w:r>
        <w:rPr>
          <w:rFonts w:hint="eastAsia"/>
        </w:rPr>
        <w:t>1.理解和掌握货币的本质、职能、货币形式的发展、货币制度和货币流通等知识。</w:t>
      </w:r>
    </w:p>
    <w:p w14:paraId="131F17E9">
      <w:pPr>
        <w:pStyle w:val="34"/>
      </w:pPr>
      <w:r>
        <w:rPr>
          <w:rFonts w:hint="eastAsia"/>
        </w:rPr>
        <w:t>2.了解货币形式的发展、货币制度的内容与演变，货币流通形式与渠道。</w:t>
      </w:r>
    </w:p>
    <w:p w14:paraId="4B867A71">
      <w:pPr>
        <w:pStyle w:val="34"/>
      </w:pPr>
      <w:r>
        <w:rPr>
          <w:rFonts w:hint="eastAsia"/>
        </w:rPr>
        <w:t>3.理解信用的概念和特征，掌握信用的构成要素</w:t>
      </w:r>
    </w:p>
    <w:p w14:paraId="3C8FE19B">
      <w:pPr>
        <w:pStyle w:val="34"/>
      </w:pPr>
      <w:r>
        <w:rPr>
          <w:rFonts w:hint="eastAsia"/>
        </w:rPr>
        <w:t>4.理解信用工具的概念和特征</w:t>
      </w:r>
    </w:p>
    <w:p w14:paraId="79D47931">
      <w:pPr>
        <w:pStyle w:val="34"/>
      </w:pPr>
      <w:r>
        <w:rPr>
          <w:rFonts w:hint="eastAsia"/>
        </w:rPr>
        <w:t>5.掌握常见的信用工具和信用工具的分类</w:t>
      </w:r>
    </w:p>
    <w:p w14:paraId="41D9E4A8">
      <w:pPr>
        <w:pStyle w:val="34"/>
      </w:pPr>
      <w:r>
        <w:rPr>
          <w:rFonts w:hint="eastAsia"/>
        </w:rPr>
        <w:t>6.理解信息的本质、利息率的概念及分类</w:t>
      </w:r>
    </w:p>
    <w:p w14:paraId="58D70E5D">
      <w:pPr>
        <w:pStyle w:val="34"/>
      </w:pPr>
      <w:r>
        <w:rPr>
          <w:rFonts w:hint="eastAsia"/>
        </w:rPr>
        <w:t>7.理解影响利息率的因素，掌握利息的计算方法</w:t>
      </w:r>
    </w:p>
    <w:p w14:paraId="655D25B5">
      <w:pPr>
        <w:pStyle w:val="34"/>
      </w:pPr>
      <w:r>
        <w:rPr>
          <w:rFonts w:hint="eastAsia"/>
        </w:rPr>
        <w:t>8.理解金融机构的概念和金融机构体系</w:t>
      </w:r>
    </w:p>
    <w:p w14:paraId="38FFCE31">
      <w:pPr>
        <w:pStyle w:val="34"/>
      </w:pPr>
      <w:r>
        <w:rPr>
          <w:rFonts w:hint="eastAsia"/>
        </w:rPr>
        <w:t>9.了解银行金融机构的产生与发展，了解政策性银行和村镇银行的产生和发展</w:t>
      </w:r>
    </w:p>
    <w:p w14:paraId="6C91CCC6">
      <w:pPr>
        <w:pStyle w:val="34"/>
      </w:pPr>
      <w:r>
        <w:rPr>
          <w:rFonts w:hint="eastAsia"/>
        </w:rPr>
        <w:t>10.掌握我国政策性银行和村镇银行的特点和业务</w:t>
      </w:r>
    </w:p>
    <w:p w14:paraId="315DE815">
      <w:pPr>
        <w:pStyle w:val="34"/>
      </w:pPr>
      <w:r>
        <w:rPr>
          <w:rFonts w:hint="eastAsia"/>
        </w:rPr>
        <w:t>11.掌握证券公司的业务</w:t>
      </w:r>
    </w:p>
    <w:p w14:paraId="29092DB6">
      <w:pPr>
        <w:pStyle w:val="34"/>
      </w:pPr>
      <w:r>
        <w:rPr>
          <w:rFonts w:hint="eastAsia"/>
        </w:rPr>
        <w:t>12.了解保险公司的产生与发展，掌握保险公司的种类和业务</w:t>
      </w:r>
    </w:p>
    <w:p w14:paraId="03B6AA78">
      <w:pPr>
        <w:pStyle w:val="34"/>
      </w:pPr>
      <w:r>
        <w:rPr>
          <w:rFonts w:hint="eastAsia"/>
        </w:rPr>
        <w:t>13.掌握信托公司、基金公司和小额贷款公司等其他金融机构</w:t>
      </w:r>
    </w:p>
    <w:p w14:paraId="7FC3A03E">
      <w:pPr>
        <w:pStyle w:val="34"/>
      </w:pPr>
      <w:r>
        <w:rPr>
          <w:rFonts w:hint="eastAsia"/>
        </w:rPr>
        <w:t>14.了解商业银行的产生与发展</w:t>
      </w:r>
    </w:p>
    <w:p w14:paraId="4FC4FFE1">
      <w:pPr>
        <w:pStyle w:val="34"/>
      </w:pPr>
      <w:r>
        <w:rPr>
          <w:rFonts w:hint="eastAsia"/>
        </w:rPr>
        <w:t>15.理解商业银行的概念与商业银行的信用创造</w:t>
      </w:r>
    </w:p>
    <w:p w14:paraId="6C076539">
      <w:pPr>
        <w:pStyle w:val="34"/>
      </w:pPr>
      <w:r>
        <w:rPr>
          <w:rFonts w:hint="eastAsia"/>
        </w:rPr>
        <w:t xml:space="preserve">16.理解商业银行的性质与职能 </w:t>
      </w:r>
    </w:p>
    <w:p w14:paraId="4B7BE14F">
      <w:pPr>
        <w:pStyle w:val="34"/>
      </w:pPr>
      <w:r>
        <w:rPr>
          <w:rFonts w:hint="eastAsia"/>
        </w:rPr>
        <w:t>17.掌握商业银行的负债业务、资产业务、中间业务</w:t>
      </w:r>
    </w:p>
    <w:p w14:paraId="6F3C7D49">
      <w:pPr>
        <w:pStyle w:val="34"/>
      </w:pPr>
      <w:r>
        <w:rPr>
          <w:rFonts w:hint="eastAsia"/>
        </w:rPr>
        <w:t>18.理解商业银行业务经营原则</w:t>
      </w:r>
    </w:p>
    <w:p w14:paraId="57A63B29">
      <w:pPr>
        <w:pStyle w:val="34"/>
      </w:pPr>
      <w:r>
        <w:rPr>
          <w:rFonts w:hint="eastAsia"/>
        </w:rPr>
        <w:t>19.理解中央银行的性质、职能与组织制度</w:t>
      </w:r>
    </w:p>
    <w:p w14:paraId="6CAA5906">
      <w:pPr>
        <w:pStyle w:val="34"/>
      </w:pPr>
      <w:r>
        <w:rPr>
          <w:rFonts w:hint="eastAsia"/>
        </w:rPr>
        <w:t>20.掌握中央银行的负债业务、资产业务和清算业务</w:t>
      </w:r>
    </w:p>
    <w:p w14:paraId="00963A70">
      <w:pPr>
        <w:pStyle w:val="34"/>
      </w:pPr>
      <w:r>
        <w:rPr>
          <w:rFonts w:hint="eastAsia"/>
        </w:rPr>
        <w:t>21.理解外汇的概念和种类，掌握汇率的标价方法和分类</w:t>
      </w:r>
    </w:p>
    <w:p w14:paraId="6CCAED80">
      <w:pPr>
        <w:pStyle w:val="31"/>
      </w:pPr>
      <w:r>
        <w:t xml:space="preserve">（二）职业能力目标或学习实践的内容 </w:t>
      </w:r>
    </w:p>
    <w:p w14:paraId="5295A25B">
      <w:pPr>
        <w:pStyle w:val="34"/>
      </w:pPr>
      <w:r>
        <w:rPr>
          <w:rFonts w:hint="eastAsia"/>
        </w:rPr>
        <w:t>1、组织学生到钱币博物馆参观</w:t>
      </w:r>
    </w:p>
    <w:p w14:paraId="0F94FBFB">
      <w:pPr>
        <w:pStyle w:val="34"/>
      </w:pPr>
      <w:r>
        <w:rPr>
          <w:rFonts w:hint="eastAsia"/>
        </w:rPr>
        <w:t>（1）了解各个历史时期的货币形式及发展、特点、作用、联系；</w:t>
      </w:r>
    </w:p>
    <w:p w14:paraId="209DC2A7">
      <w:pPr>
        <w:pStyle w:val="34"/>
      </w:pPr>
      <w:r>
        <w:rPr>
          <w:rFonts w:hint="eastAsia"/>
        </w:rPr>
        <w:t>（2）理解实物货币→金属货币→代用货币→信用货币的发展是商品经济发展的必然；</w:t>
      </w:r>
    </w:p>
    <w:p w14:paraId="450B39F2">
      <w:pPr>
        <w:pStyle w:val="34"/>
      </w:pPr>
      <w:r>
        <w:rPr>
          <w:rFonts w:hint="eastAsia"/>
        </w:rPr>
        <w:t>（3）理解货币的产生是金融活动的起点；</w:t>
      </w:r>
    </w:p>
    <w:p w14:paraId="68A9033F">
      <w:pPr>
        <w:pStyle w:val="34"/>
      </w:pPr>
      <w:r>
        <w:rPr>
          <w:rFonts w:hint="eastAsia"/>
        </w:rPr>
        <w:t>（4）过程：</w:t>
      </w:r>
    </w:p>
    <w:p w14:paraId="114D3212">
      <w:pPr>
        <w:pStyle w:val="34"/>
      </w:pPr>
      <w:r>
        <w:rPr>
          <w:rFonts w:hint="eastAsia"/>
        </w:rPr>
        <w:t>A.从感性上认识各种货币形式发展的特征、局限性；</w:t>
      </w:r>
    </w:p>
    <w:p w14:paraId="6B5953FB">
      <w:pPr>
        <w:pStyle w:val="34"/>
      </w:pPr>
      <w:r>
        <w:rPr>
          <w:rFonts w:hint="eastAsia"/>
        </w:rPr>
        <w:t>B.到钱币博物馆参观：要求学生了解各种货币形式的具体种类、特点；</w:t>
      </w:r>
    </w:p>
    <w:p w14:paraId="081501E3">
      <w:pPr>
        <w:pStyle w:val="34"/>
      </w:pPr>
      <w:r>
        <w:rPr>
          <w:rFonts w:hint="eastAsia"/>
        </w:rPr>
        <w:t>C.通过参观实践，让学生总结发言，认识理解货币产生发展的必然过程，锻炼学生的理解能力和语言表达能力；</w:t>
      </w:r>
    </w:p>
    <w:p w14:paraId="0155824D">
      <w:pPr>
        <w:pStyle w:val="34"/>
      </w:pPr>
      <w:r>
        <w:rPr>
          <w:rFonts w:hint="eastAsia"/>
        </w:rPr>
        <w:t>D.老师概括总结，加深学生的理解。</w:t>
      </w:r>
    </w:p>
    <w:p w14:paraId="6AFFDA55">
      <w:pPr>
        <w:pStyle w:val="34"/>
      </w:pPr>
      <w:r>
        <w:rPr>
          <w:rFonts w:hint="eastAsia"/>
        </w:rPr>
        <w:t>2、参考用的课时为4节。</w:t>
      </w:r>
    </w:p>
    <w:p w14:paraId="50857647">
      <w:pPr>
        <w:pStyle w:val="34"/>
      </w:pPr>
      <w:r>
        <w:rPr>
          <w:rFonts w:hint="eastAsia"/>
        </w:rPr>
        <w:t>3、利息的计算</w:t>
      </w:r>
    </w:p>
    <w:p w14:paraId="1CA75A3F">
      <w:pPr>
        <w:pStyle w:val="34"/>
      </w:pPr>
      <w:r>
        <w:rPr>
          <w:rFonts w:hint="eastAsia"/>
        </w:rPr>
        <w:t>（1）课程内容与教学要求</w:t>
      </w:r>
    </w:p>
    <w:p w14:paraId="0A0B2397">
      <w:pPr>
        <w:pStyle w:val="34"/>
      </w:pPr>
      <w:r>
        <w:rPr>
          <w:rFonts w:hint="eastAsia"/>
        </w:rPr>
        <w:t>A.能掌握年利率、月利率、日利率的表述及转换；</w:t>
      </w:r>
    </w:p>
    <w:p w14:paraId="3F7154E2">
      <w:pPr>
        <w:pStyle w:val="34"/>
      </w:pPr>
      <w:r>
        <w:rPr>
          <w:rFonts w:hint="eastAsia"/>
        </w:rPr>
        <w:t>B.能掌握央行关于计息天数的规定</w:t>
      </w:r>
    </w:p>
    <w:p w14:paraId="136AA7C4">
      <w:pPr>
        <w:pStyle w:val="34"/>
      </w:pPr>
      <w:r>
        <w:rPr>
          <w:rFonts w:hint="eastAsia"/>
        </w:rPr>
        <w:t>C.能理解和掌握单利和复利计息公式和方法</w:t>
      </w:r>
    </w:p>
    <w:p w14:paraId="0BF8D325">
      <w:pPr>
        <w:pStyle w:val="34"/>
      </w:pPr>
      <w:r>
        <w:rPr>
          <w:rFonts w:hint="eastAsia"/>
        </w:rPr>
        <w:t>(2)  教学设计</w:t>
      </w:r>
    </w:p>
    <w:p w14:paraId="56A7449E">
      <w:pPr>
        <w:pStyle w:val="34"/>
      </w:pPr>
      <w:r>
        <w:rPr>
          <w:rFonts w:hint="eastAsia"/>
        </w:rPr>
        <w:t>通过举实例讲解计算单利和复利；出实例题由学生独立完成单利和复利的计算；教师概括总结。</w:t>
      </w:r>
    </w:p>
    <w:p w14:paraId="7F3417FE">
      <w:pPr>
        <w:pStyle w:val="34"/>
      </w:pPr>
      <w:r>
        <w:rPr>
          <w:rFonts w:hint="eastAsia"/>
        </w:rPr>
        <w:t xml:space="preserve"> 参考用的课时为4节。</w:t>
      </w:r>
    </w:p>
    <w:p w14:paraId="7A011E2A">
      <w:pPr>
        <w:pStyle w:val="34"/>
      </w:pPr>
      <w:r>
        <w:rPr>
          <w:rFonts w:hint="eastAsia"/>
        </w:rPr>
        <w:t>4、票据贴现的计算</w:t>
      </w:r>
    </w:p>
    <w:p w14:paraId="4643C268">
      <w:pPr>
        <w:pStyle w:val="34"/>
      </w:pPr>
      <w:r>
        <w:rPr>
          <w:rFonts w:hint="eastAsia"/>
        </w:rPr>
        <w:t>（1）课程内容与教学要求</w:t>
      </w:r>
    </w:p>
    <w:p w14:paraId="44947293">
      <w:pPr>
        <w:pStyle w:val="34"/>
      </w:pPr>
      <w:r>
        <w:rPr>
          <w:rFonts w:hint="eastAsia"/>
        </w:rPr>
        <w:t>A.理解和掌握汇票、承兑汇票、商业承兑汇票、银行承兑汇票；</w:t>
      </w:r>
    </w:p>
    <w:p w14:paraId="020822B3">
      <w:pPr>
        <w:pStyle w:val="34"/>
      </w:pPr>
      <w:r>
        <w:rPr>
          <w:rFonts w:hint="eastAsia"/>
        </w:rPr>
        <w:t>B.理解和掌握贴现、转贴现和再贴现；</w:t>
      </w:r>
    </w:p>
    <w:p w14:paraId="6D030525">
      <w:pPr>
        <w:pStyle w:val="34"/>
      </w:pPr>
      <w:r>
        <w:rPr>
          <w:rFonts w:hint="eastAsia"/>
        </w:rPr>
        <w:t>C.掌握央行关于贴现日至到期日天数的计算；</w:t>
      </w:r>
    </w:p>
    <w:p w14:paraId="770638C5">
      <w:pPr>
        <w:pStyle w:val="34"/>
      </w:pPr>
      <w:r>
        <w:rPr>
          <w:rFonts w:hint="eastAsia"/>
        </w:rPr>
        <w:t>D.掌握计算贴息及贴现净额计算公式和方法；</w:t>
      </w:r>
    </w:p>
    <w:p w14:paraId="4BA867B6">
      <w:pPr>
        <w:pStyle w:val="34"/>
      </w:pPr>
      <w:r>
        <w:rPr>
          <w:rFonts w:hint="eastAsia"/>
        </w:rPr>
        <w:t>E.理解票据贴现实质是一种贷款；</w:t>
      </w:r>
    </w:p>
    <w:p w14:paraId="550FD645">
      <w:pPr>
        <w:pStyle w:val="34"/>
      </w:pPr>
      <w:r>
        <w:rPr>
          <w:rFonts w:hint="eastAsia"/>
        </w:rPr>
        <w:t>（2）教学设计</w:t>
      </w:r>
    </w:p>
    <w:p w14:paraId="5EDF61E1">
      <w:pPr>
        <w:pStyle w:val="34"/>
      </w:pPr>
      <w:r>
        <w:rPr>
          <w:rFonts w:hint="eastAsia"/>
        </w:rPr>
        <w:t>通过举实例讲解票据贴现的计算；出例题由学生独立完成计算；教师概括总结。</w:t>
      </w:r>
    </w:p>
    <w:p w14:paraId="3AF9CC55">
      <w:pPr>
        <w:pStyle w:val="34"/>
      </w:pPr>
      <w:r>
        <w:rPr>
          <w:rFonts w:hint="eastAsia"/>
        </w:rPr>
        <w:t>（3）参考用课时为2节。</w:t>
      </w:r>
    </w:p>
    <w:p w14:paraId="7DE5C66E">
      <w:pPr>
        <w:pStyle w:val="34"/>
      </w:pPr>
      <w:r>
        <w:rPr>
          <w:rFonts w:hint="eastAsia"/>
        </w:rPr>
        <w:t>5、国际收支平衡表分析</w:t>
      </w:r>
    </w:p>
    <w:p w14:paraId="6DA68489">
      <w:pPr>
        <w:pStyle w:val="34"/>
      </w:pPr>
      <w:r>
        <w:rPr>
          <w:rFonts w:hint="eastAsia"/>
        </w:rPr>
        <w:t>（1）课程内容与教学要求</w:t>
      </w:r>
    </w:p>
    <w:p w14:paraId="7222A8BA">
      <w:pPr>
        <w:pStyle w:val="34"/>
      </w:pPr>
      <w:r>
        <w:rPr>
          <w:rFonts w:hint="eastAsia"/>
        </w:rPr>
        <w:t>A.理解国际收支的概念</w:t>
      </w:r>
    </w:p>
    <w:p w14:paraId="4919654D">
      <w:pPr>
        <w:pStyle w:val="34"/>
      </w:pPr>
      <w:r>
        <w:rPr>
          <w:rFonts w:hint="eastAsia"/>
        </w:rPr>
        <w:t>B.理解和掌握国际收支平衡表的经常项目、资本项目、平衡项目的内容；</w:t>
      </w:r>
    </w:p>
    <w:p w14:paraId="04106C78">
      <w:pPr>
        <w:pStyle w:val="34"/>
      </w:pPr>
      <w:r>
        <w:rPr>
          <w:rFonts w:hint="eastAsia"/>
        </w:rPr>
        <w:t>C.平衡国际收支的措施；</w:t>
      </w:r>
    </w:p>
    <w:p w14:paraId="543D10F0">
      <w:pPr>
        <w:pStyle w:val="34"/>
      </w:pPr>
      <w:r>
        <w:rPr>
          <w:rFonts w:hint="eastAsia"/>
        </w:rPr>
        <w:t>（2）教学过程</w:t>
      </w:r>
    </w:p>
    <w:p w14:paraId="25F43775">
      <w:pPr>
        <w:pStyle w:val="34"/>
      </w:pPr>
      <w:r>
        <w:rPr>
          <w:rFonts w:hint="eastAsia"/>
        </w:rPr>
        <w:t>A.实例展示：通过实例展示，使学生懂得国际收支平衡表是按照复式会计原理编制而成的，其全部项目的借方总额和贷方总额是恒等的，两者之间的净差额为零；其构成大体分为：经常项目、资本项目和平衡项目三大类；</w:t>
      </w:r>
    </w:p>
    <w:p w14:paraId="169119FE">
      <w:pPr>
        <w:pStyle w:val="34"/>
      </w:pPr>
      <w:r>
        <w:rPr>
          <w:rFonts w:hint="eastAsia"/>
        </w:rPr>
        <w:t>B.提出问题要学生分析：根据国际收支平衡表实例可以分析当年国际收支的总体状况、出现逆差的国际收支项目、反映国际收支基本状况的基本差额及局部差额、解决国际收支问题可能采取的政策调节措施等。</w:t>
      </w:r>
    </w:p>
    <w:p w14:paraId="73EF89A3">
      <w:pPr>
        <w:pStyle w:val="34"/>
      </w:pPr>
      <w:r>
        <w:rPr>
          <w:rFonts w:hint="eastAsia"/>
        </w:rPr>
        <w:t>C.教师根据学生提出的问题进行概括总结；</w:t>
      </w:r>
    </w:p>
    <w:p w14:paraId="564AFA30">
      <w:pPr>
        <w:pStyle w:val="34"/>
      </w:pPr>
      <w:r>
        <w:rPr>
          <w:rFonts w:hint="eastAsia"/>
        </w:rPr>
        <w:t>D.答疑；</w:t>
      </w:r>
    </w:p>
    <w:p w14:paraId="41E46A21">
      <w:pPr>
        <w:spacing w:line="580" w:lineRule="exact"/>
        <w:jc w:val="left"/>
        <w:rPr>
          <w:rFonts w:ascii="黑体" w:eastAsia="黑体"/>
          <w:bCs/>
          <w:sz w:val="32"/>
          <w:szCs w:val="32"/>
        </w:rPr>
      </w:pPr>
      <w:r>
        <w:rPr>
          <w:rFonts w:hint="eastAsia" w:ascii="黑体" w:eastAsia="黑体"/>
          <w:bCs/>
          <w:sz w:val="32"/>
          <w:szCs w:val="32"/>
        </w:rPr>
        <w:t>三、课程内容与学时安排</w:t>
      </w:r>
    </w:p>
    <w:tbl>
      <w:tblPr>
        <w:tblStyle w:val="15"/>
        <w:tblW w:w="95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365"/>
        <w:gridCol w:w="3780"/>
        <w:gridCol w:w="1080"/>
        <w:gridCol w:w="596"/>
        <w:gridCol w:w="360"/>
        <w:gridCol w:w="1260"/>
      </w:tblGrid>
      <w:tr w14:paraId="1046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155" w:type="dxa"/>
            <w:vMerge w:val="restart"/>
            <w:tcBorders>
              <w:top w:val="single" w:color="auto" w:sz="12" w:space="0"/>
              <w:left w:val="single" w:color="auto" w:sz="12" w:space="0"/>
              <w:bottom w:val="single" w:color="auto" w:sz="4" w:space="0"/>
              <w:right w:val="single" w:color="auto" w:sz="4" w:space="0"/>
            </w:tcBorders>
            <w:vAlign w:val="center"/>
          </w:tcPr>
          <w:p w14:paraId="390A10F3">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周  次</w:t>
            </w:r>
          </w:p>
          <w:p w14:paraId="52E882D0">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（按校历表）</w:t>
            </w:r>
          </w:p>
        </w:tc>
        <w:tc>
          <w:tcPr>
            <w:tcW w:w="1365" w:type="dxa"/>
            <w:vMerge w:val="restart"/>
            <w:tcBorders>
              <w:top w:val="single" w:color="auto" w:sz="12" w:space="0"/>
              <w:left w:val="nil"/>
              <w:bottom w:val="single" w:color="auto" w:sz="4" w:space="0"/>
              <w:right w:val="single" w:color="auto" w:sz="4" w:space="0"/>
            </w:tcBorders>
            <w:vAlign w:val="center"/>
          </w:tcPr>
          <w:p w14:paraId="548E8882">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授课章、节</w:t>
            </w:r>
          </w:p>
        </w:tc>
        <w:tc>
          <w:tcPr>
            <w:tcW w:w="3780" w:type="dxa"/>
            <w:vMerge w:val="restart"/>
            <w:tcBorders>
              <w:top w:val="single" w:color="auto" w:sz="12" w:space="0"/>
              <w:left w:val="nil"/>
              <w:bottom w:val="single" w:color="auto" w:sz="4" w:space="0"/>
              <w:right w:val="single" w:color="auto" w:sz="4" w:space="0"/>
            </w:tcBorders>
            <w:vAlign w:val="center"/>
          </w:tcPr>
          <w:p w14:paraId="58B65F99">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教   学   内   容   摘   要</w:t>
            </w:r>
          </w:p>
        </w:tc>
        <w:tc>
          <w:tcPr>
            <w:tcW w:w="1080" w:type="dxa"/>
            <w:vMerge w:val="restart"/>
            <w:tcBorders>
              <w:top w:val="single" w:color="auto" w:sz="12" w:space="0"/>
              <w:left w:val="nil"/>
              <w:bottom w:val="single" w:color="auto" w:sz="4" w:space="0"/>
              <w:right w:val="single" w:color="auto" w:sz="4" w:space="0"/>
            </w:tcBorders>
            <w:vAlign w:val="center"/>
          </w:tcPr>
          <w:p w14:paraId="532EE44B">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教学方式</w:t>
            </w:r>
          </w:p>
        </w:tc>
        <w:tc>
          <w:tcPr>
            <w:tcW w:w="956" w:type="dxa"/>
            <w:gridSpan w:val="2"/>
            <w:tcBorders>
              <w:top w:val="single" w:color="auto" w:sz="12" w:space="0"/>
              <w:left w:val="nil"/>
              <w:bottom w:val="single" w:color="auto" w:sz="4" w:space="0"/>
              <w:right w:val="single" w:color="auto" w:sz="4" w:space="0"/>
            </w:tcBorders>
            <w:vAlign w:val="center"/>
          </w:tcPr>
          <w:p w14:paraId="2AA69E5C">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课时</w:t>
            </w:r>
          </w:p>
        </w:tc>
        <w:tc>
          <w:tcPr>
            <w:tcW w:w="1260" w:type="dxa"/>
            <w:vMerge w:val="restart"/>
            <w:tcBorders>
              <w:top w:val="single" w:color="auto" w:sz="12" w:space="0"/>
              <w:left w:val="nil"/>
              <w:bottom w:val="single" w:color="auto" w:sz="4" w:space="0"/>
              <w:right w:val="single" w:color="auto" w:sz="4" w:space="0"/>
            </w:tcBorders>
            <w:vAlign w:val="center"/>
          </w:tcPr>
          <w:p w14:paraId="19F2F8E2">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实习实验</w:t>
            </w:r>
          </w:p>
          <w:p w14:paraId="309E7AA0">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作业布置</w:t>
            </w:r>
          </w:p>
        </w:tc>
      </w:tr>
      <w:tr w14:paraId="73789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155" w:type="dxa"/>
            <w:vMerge w:val="continue"/>
            <w:tcBorders>
              <w:top w:val="single" w:color="auto" w:sz="12" w:space="0"/>
              <w:left w:val="single" w:color="auto" w:sz="12" w:space="0"/>
              <w:bottom w:val="single" w:color="auto" w:sz="4" w:space="0"/>
              <w:right w:val="single" w:color="auto" w:sz="4" w:space="0"/>
            </w:tcBorders>
            <w:vAlign w:val="center"/>
          </w:tcPr>
          <w:p w14:paraId="36B9C0AB">
            <w:pPr>
              <w:spacing w:line="580" w:lineRule="exact"/>
              <w:rPr>
                <w:rFonts w:asciiTheme="minorEastAsia" w:hAnsiTheme="minorEastAsia" w:cstheme="minorEastAsia"/>
                <w:sz w:val="18"/>
                <w:szCs w:val="18"/>
              </w:rPr>
            </w:pPr>
          </w:p>
        </w:tc>
        <w:tc>
          <w:tcPr>
            <w:tcW w:w="1365" w:type="dxa"/>
            <w:vMerge w:val="continue"/>
            <w:tcBorders>
              <w:top w:val="single" w:color="auto" w:sz="12" w:space="0"/>
              <w:left w:val="nil"/>
              <w:bottom w:val="single" w:color="auto" w:sz="4" w:space="0"/>
              <w:right w:val="single" w:color="auto" w:sz="4" w:space="0"/>
            </w:tcBorders>
            <w:vAlign w:val="center"/>
          </w:tcPr>
          <w:p w14:paraId="2B2B6543">
            <w:pPr>
              <w:spacing w:line="580" w:lineRule="exact"/>
              <w:rPr>
                <w:rFonts w:asciiTheme="minorEastAsia" w:hAnsiTheme="minorEastAsia" w:cstheme="minorEastAsia"/>
                <w:sz w:val="18"/>
                <w:szCs w:val="18"/>
              </w:rPr>
            </w:pPr>
          </w:p>
        </w:tc>
        <w:tc>
          <w:tcPr>
            <w:tcW w:w="3780" w:type="dxa"/>
            <w:vMerge w:val="continue"/>
            <w:tcBorders>
              <w:top w:val="single" w:color="auto" w:sz="12" w:space="0"/>
              <w:left w:val="nil"/>
              <w:bottom w:val="single" w:color="auto" w:sz="4" w:space="0"/>
              <w:right w:val="single" w:color="auto" w:sz="4" w:space="0"/>
            </w:tcBorders>
            <w:vAlign w:val="center"/>
          </w:tcPr>
          <w:p w14:paraId="2C46909E">
            <w:pPr>
              <w:spacing w:line="580" w:lineRule="exact"/>
              <w:rPr>
                <w:rFonts w:asciiTheme="minorEastAsia" w:hAnsiTheme="minorEastAsia" w:cstheme="minorEastAsia"/>
                <w:sz w:val="18"/>
                <w:szCs w:val="18"/>
              </w:rPr>
            </w:pPr>
          </w:p>
        </w:tc>
        <w:tc>
          <w:tcPr>
            <w:tcW w:w="1080" w:type="dxa"/>
            <w:vMerge w:val="continue"/>
            <w:tcBorders>
              <w:top w:val="single" w:color="auto" w:sz="12" w:space="0"/>
              <w:left w:val="nil"/>
              <w:bottom w:val="single" w:color="auto" w:sz="4" w:space="0"/>
              <w:right w:val="single" w:color="auto" w:sz="4" w:space="0"/>
            </w:tcBorders>
            <w:vAlign w:val="center"/>
          </w:tcPr>
          <w:p w14:paraId="00D2971F">
            <w:pPr>
              <w:spacing w:line="580" w:lineRule="exact"/>
              <w:rPr>
                <w:rFonts w:asciiTheme="minorEastAsia" w:hAnsiTheme="minorEastAsia" w:cstheme="minorEastAsia"/>
                <w:sz w:val="18"/>
                <w:szCs w:val="18"/>
              </w:rPr>
            </w:pPr>
          </w:p>
        </w:tc>
        <w:tc>
          <w:tcPr>
            <w:tcW w:w="596" w:type="dxa"/>
            <w:tcBorders>
              <w:top w:val="single" w:color="auto" w:sz="12" w:space="0"/>
              <w:left w:val="nil"/>
              <w:bottom w:val="single" w:color="auto" w:sz="4" w:space="0"/>
              <w:right w:val="single" w:color="auto" w:sz="4" w:space="0"/>
            </w:tcBorders>
            <w:vAlign w:val="center"/>
          </w:tcPr>
          <w:p w14:paraId="49666ADC">
            <w:pPr>
              <w:spacing w:line="580" w:lineRule="exact"/>
              <w:rPr>
                <w:rFonts w:asciiTheme="minorEastAsia" w:hAnsiTheme="minorEastAsia" w:cstheme="minorEastAsia"/>
                <w:sz w:val="18"/>
                <w:szCs w:val="18"/>
              </w:rPr>
            </w:pPr>
            <w:r>
              <w:rPr>
                <w:rFonts w:hint="eastAsia" w:asciiTheme="minorEastAsia" w:hAnsiTheme="minorEastAsia" w:cstheme="minorEastAsia"/>
                <w:color w:val="000000"/>
                <w:sz w:val="18"/>
                <w:szCs w:val="18"/>
              </w:rPr>
              <w:t>讲授</w:t>
            </w:r>
          </w:p>
        </w:tc>
        <w:tc>
          <w:tcPr>
            <w:tcW w:w="360" w:type="dxa"/>
            <w:tcBorders>
              <w:top w:val="single" w:color="auto" w:sz="12" w:space="0"/>
              <w:left w:val="nil"/>
              <w:bottom w:val="single" w:color="auto" w:sz="4" w:space="0"/>
              <w:right w:val="single" w:color="auto" w:sz="4" w:space="0"/>
            </w:tcBorders>
            <w:vAlign w:val="center"/>
          </w:tcPr>
          <w:p w14:paraId="41548649">
            <w:pPr>
              <w:spacing w:line="580" w:lineRule="exact"/>
              <w:rPr>
                <w:rFonts w:asciiTheme="minorEastAsia" w:hAnsiTheme="minorEastAsia" w:cstheme="minorEastAsia"/>
                <w:sz w:val="18"/>
                <w:szCs w:val="18"/>
              </w:rPr>
            </w:pPr>
            <w:r>
              <w:rPr>
                <w:rFonts w:hint="eastAsia" w:asciiTheme="minorEastAsia" w:hAnsiTheme="minorEastAsia" w:cstheme="minorEastAsia"/>
                <w:color w:val="000000"/>
                <w:sz w:val="18"/>
                <w:szCs w:val="18"/>
              </w:rPr>
              <w:t>实训</w:t>
            </w:r>
          </w:p>
        </w:tc>
        <w:tc>
          <w:tcPr>
            <w:tcW w:w="1260" w:type="dxa"/>
            <w:vMerge w:val="continue"/>
            <w:tcBorders>
              <w:top w:val="single" w:color="auto" w:sz="12" w:space="0"/>
              <w:left w:val="nil"/>
              <w:bottom w:val="single" w:color="auto" w:sz="4" w:space="0"/>
              <w:right w:val="single" w:color="auto" w:sz="4" w:space="0"/>
            </w:tcBorders>
            <w:vAlign w:val="center"/>
          </w:tcPr>
          <w:p w14:paraId="5840821C">
            <w:pPr>
              <w:spacing w:line="580" w:lineRule="exact"/>
              <w:rPr>
                <w:rFonts w:asciiTheme="minorEastAsia" w:hAnsiTheme="minorEastAsia" w:cstheme="minorEastAsia"/>
                <w:sz w:val="18"/>
                <w:szCs w:val="18"/>
              </w:rPr>
            </w:pPr>
          </w:p>
        </w:tc>
      </w:tr>
      <w:tr w14:paraId="3EDE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155" w:type="dxa"/>
            <w:vMerge w:val="restart"/>
            <w:tcBorders>
              <w:top w:val="nil"/>
              <w:left w:val="single" w:color="auto" w:sz="12" w:space="0"/>
              <w:bottom w:val="single" w:color="auto" w:sz="4" w:space="0"/>
              <w:right w:val="single" w:color="auto" w:sz="4" w:space="0"/>
            </w:tcBorders>
            <w:vAlign w:val="center"/>
          </w:tcPr>
          <w:p w14:paraId="233D030B">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w:t>
            </w:r>
          </w:p>
          <w:p w14:paraId="4FA0F75E">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2</w:t>
            </w:r>
          </w:p>
          <w:p w14:paraId="1E235EEB">
            <w:pPr>
              <w:spacing w:line="580" w:lineRule="exact"/>
              <w:jc w:val="center"/>
              <w:rPr>
                <w:rFonts w:asciiTheme="minorEastAsia" w:hAnsiTheme="minorEastAsia" w:cstheme="minorEastAsia"/>
                <w:sz w:val="18"/>
                <w:szCs w:val="18"/>
              </w:rPr>
            </w:pPr>
          </w:p>
        </w:tc>
        <w:tc>
          <w:tcPr>
            <w:tcW w:w="1365" w:type="dxa"/>
            <w:tcBorders>
              <w:top w:val="single" w:color="auto" w:sz="4" w:space="0"/>
              <w:left w:val="nil"/>
              <w:bottom w:val="single" w:color="auto" w:sz="4" w:space="0"/>
              <w:right w:val="single" w:color="auto" w:sz="4" w:space="0"/>
            </w:tcBorders>
          </w:tcPr>
          <w:p w14:paraId="51A32657">
            <w:pPr>
              <w:spacing w:line="580" w:lineRule="exact"/>
              <w:ind w:firstLine="180" w:firstLineChars="100"/>
              <w:rPr>
                <w:rFonts w:asciiTheme="minorEastAsia" w:hAnsiTheme="minorEastAsia" w:cstheme="minorEastAsia"/>
                <w:sz w:val="18"/>
                <w:szCs w:val="18"/>
              </w:rPr>
            </w:pPr>
            <w:r>
              <w:rPr>
                <w:rFonts w:hint="eastAsia" w:asciiTheme="minorEastAsia" w:hAnsiTheme="minorEastAsia" w:cstheme="minorEastAsia"/>
                <w:sz w:val="18"/>
                <w:szCs w:val="18"/>
              </w:rPr>
              <w:t>第一章</w:t>
            </w:r>
          </w:p>
        </w:tc>
        <w:tc>
          <w:tcPr>
            <w:tcW w:w="3780" w:type="dxa"/>
            <w:tcBorders>
              <w:top w:val="single" w:color="auto" w:sz="4" w:space="0"/>
              <w:left w:val="nil"/>
              <w:bottom w:val="single" w:color="auto" w:sz="4" w:space="0"/>
              <w:right w:val="single" w:color="auto" w:sz="4" w:space="0"/>
            </w:tcBorders>
          </w:tcPr>
          <w:p w14:paraId="482ACE9C">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金融概述</w:t>
            </w:r>
          </w:p>
        </w:tc>
        <w:tc>
          <w:tcPr>
            <w:tcW w:w="1080" w:type="dxa"/>
            <w:vMerge w:val="restart"/>
            <w:tcBorders>
              <w:top w:val="single" w:color="auto" w:sz="2" w:space="0"/>
              <w:left w:val="nil"/>
              <w:bottom w:val="single" w:color="auto" w:sz="4" w:space="0"/>
              <w:right w:val="single" w:color="auto" w:sz="4" w:space="0"/>
            </w:tcBorders>
          </w:tcPr>
          <w:p w14:paraId="4F3AB473">
            <w:pPr>
              <w:spacing w:line="580" w:lineRule="exact"/>
              <w:rPr>
                <w:rFonts w:asciiTheme="minorEastAsia" w:hAnsiTheme="minorEastAsia" w:cstheme="minorEastAsia"/>
                <w:sz w:val="18"/>
                <w:szCs w:val="18"/>
              </w:rPr>
            </w:pPr>
          </w:p>
          <w:p w14:paraId="24A46382">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理论讲授案例讨论</w:t>
            </w:r>
          </w:p>
        </w:tc>
        <w:tc>
          <w:tcPr>
            <w:tcW w:w="596" w:type="dxa"/>
            <w:tcBorders>
              <w:top w:val="single" w:color="auto" w:sz="2" w:space="0"/>
              <w:left w:val="nil"/>
              <w:bottom w:val="single" w:color="auto" w:sz="4" w:space="0"/>
              <w:right w:val="single" w:color="auto" w:sz="4" w:space="0"/>
            </w:tcBorders>
          </w:tcPr>
          <w:p w14:paraId="7553C580">
            <w:pPr>
              <w:spacing w:line="580" w:lineRule="exact"/>
              <w:ind w:firstLine="90" w:firstLineChars="50"/>
              <w:rPr>
                <w:rFonts w:asciiTheme="minorEastAsia" w:hAnsiTheme="minorEastAsia" w:cstheme="minorEastAsia"/>
                <w:sz w:val="18"/>
                <w:szCs w:val="18"/>
              </w:rPr>
            </w:pPr>
            <w:r>
              <w:rPr>
                <w:rFonts w:hint="eastAsia" w:asciiTheme="minorEastAsia" w:hAnsiTheme="minorEastAsia" w:cstheme="minorEastAsia"/>
                <w:sz w:val="18"/>
                <w:szCs w:val="18"/>
              </w:rPr>
              <w:t>4</w:t>
            </w:r>
          </w:p>
        </w:tc>
        <w:tc>
          <w:tcPr>
            <w:tcW w:w="360" w:type="dxa"/>
            <w:vMerge w:val="restart"/>
            <w:tcBorders>
              <w:top w:val="single" w:color="auto" w:sz="2" w:space="0"/>
              <w:left w:val="nil"/>
              <w:bottom w:val="single" w:color="auto" w:sz="4" w:space="0"/>
              <w:right w:val="single" w:color="auto" w:sz="4" w:space="0"/>
            </w:tcBorders>
          </w:tcPr>
          <w:p w14:paraId="4AA1FCD7">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 </w:t>
            </w:r>
          </w:p>
          <w:p w14:paraId="3D76C3C2">
            <w:pPr>
              <w:spacing w:line="580" w:lineRule="exact"/>
              <w:rPr>
                <w:rFonts w:asciiTheme="minorEastAsia" w:hAnsiTheme="minorEastAsia" w:cstheme="minorEastAsia"/>
                <w:sz w:val="18"/>
                <w:szCs w:val="18"/>
              </w:rPr>
            </w:pPr>
          </w:p>
          <w:p w14:paraId="2B94D3BD">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1260" w:type="dxa"/>
            <w:vMerge w:val="restart"/>
            <w:tcBorders>
              <w:top w:val="single" w:color="auto" w:sz="2" w:space="0"/>
              <w:left w:val="nil"/>
              <w:bottom w:val="single" w:color="auto" w:sz="4" w:space="0"/>
              <w:right w:val="single" w:color="auto" w:sz="4" w:space="0"/>
            </w:tcBorders>
          </w:tcPr>
          <w:p w14:paraId="4A6204B8">
            <w:pPr>
              <w:spacing w:line="580" w:lineRule="exact"/>
              <w:jc w:val="center"/>
              <w:rPr>
                <w:rFonts w:asciiTheme="minorEastAsia" w:hAnsiTheme="minorEastAsia" w:cstheme="minorEastAsia"/>
                <w:color w:val="000000"/>
                <w:sz w:val="18"/>
                <w:szCs w:val="18"/>
              </w:rPr>
            </w:pPr>
          </w:p>
          <w:p w14:paraId="4E501F32">
            <w:pPr>
              <w:spacing w:line="580" w:lineRule="exact"/>
              <w:ind w:left="105" w:leftChars="50"/>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章节课后习题案例分析</w:t>
            </w:r>
          </w:p>
        </w:tc>
      </w:tr>
      <w:tr w14:paraId="72C7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155" w:type="dxa"/>
            <w:vMerge w:val="continue"/>
            <w:tcBorders>
              <w:top w:val="nil"/>
              <w:left w:val="single" w:color="auto" w:sz="12" w:space="0"/>
              <w:bottom w:val="single" w:color="auto" w:sz="4" w:space="0"/>
              <w:right w:val="single" w:color="auto" w:sz="4" w:space="0"/>
            </w:tcBorders>
            <w:vAlign w:val="center"/>
          </w:tcPr>
          <w:p w14:paraId="36ED2FBC">
            <w:pPr>
              <w:spacing w:line="580" w:lineRule="exact"/>
              <w:rPr>
                <w:rFonts w:asciiTheme="minorEastAsia" w:hAnsiTheme="minorEastAsia" w:cstheme="minorEastAsia"/>
                <w:sz w:val="18"/>
                <w:szCs w:val="18"/>
              </w:rPr>
            </w:pPr>
          </w:p>
        </w:tc>
        <w:tc>
          <w:tcPr>
            <w:tcW w:w="1365" w:type="dxa"/>
            <w:tcBorders>
              <w:top w:val="single" w:color="auto" w:sz="4" w:space="0"/>
              <w:left w:val="nil"/>
              <w:bottom w:val="single" w:color="auto" w:sz="4" w:space="0"/>
              <w:right w:val="single" w:color="auto" w:sz="4" w:space="0"/>
            </w:tcBorders>
          </w:tcPr>
          <w:p w14:paraId="37DEAB06">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第一节</w:t>
            </w:r>
          </w:p>
        </w:tc>
        <w:tc>
          <w:tcPr>
            <w:tcW w:w="3780" w:type="dxa"/>
            <w:tcBorders>
              <w:top w:val="single" w:color="auto" w:sz="4" w:space="0"/>
              <w:left w:val="nil"/>
              <w:bottom w:val="single" w:color="auto" w:sz="4" w:space="0"/>
              <w:right w:val="single" w:color="auto" w:sz="4" w:space="0"/>
            </w:tcBorders>
          </w:tcPr>
          <w:p w14:paraId="484681FF">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金融的产生与发展</w:t>
            </w:r>
          </w:p>
        </w:tc>
        <w:tc>
          <w:tcPr>
            <w:tcW w:w="1080" w:type="dxa"/>
            <w:vMerge w:val="continue"/>
            <w:tcBorders>
              <w:top w:val="single" w:color="auto" w:sz="2" w:space="0"/>
              <w:left w:val="nil"/>
              <w:bottom w:val="single" w:color="auto" w:sz="4" w:space="0"/>
              <w:right w:val="single" w:color="auto" w:sz="4" w:space="0"/>
            </w:tcBorders>
          </w:tcPr>
          <w:p w14:paraId="6D30A852">
            <w:pPr>
              <w:spacing w:line="580" w:lineRule="exact"/>
              <w:rPr>
                <w:rFonts w:asciiTheme="minorEastAsia" w:hAnsiTheme="minorEastAsia" w:cstheme="minorEastAsia"/>
                <w:sz w:val="18"/>
                <w:szCs w:val="18"/>
              </w:rPr>
            </w:pPr>
          </w:p>
        </w:tc>
        <w:tc>
          <w:tcPr>
            <w:tcW w:w="596" w:type="dxa"/>
            <w:vMerge w:val="restart"/>
            <w:tcBorders>
              <w:top w:val="nil"/>
              <w:left w:val="nil"/>
              <w:bottom w:val="single" w:color="auto" w:sz="4" w:space="0"/>
              <w:right w:val="single" w:color="auto" w:sz="4" w:space="0"/>
            </w:tcBorders>
          </w:tcPr>
          <w:p w14:paraId="778124BE">
            <w:pPr>
              <w:spacing w:line="580" w:lineRule="exact"/>
              <w:ind w:firstLine="90" w:firstLineChars="50"/>
              <w:rPr>
                <w:rFonts w:asciiTheme="minorEastAsia" w:hAnsiTheme="minorEastAsia" w:cstheme="minorEastAsia"/>
                <w:sz w:val="18"/>
                <w:szCs w:val="18"/>
              </w:rPr>
            </w:pPr>
          </w:p>
          <w:p w14:paraId="0ECFEFDB">
            <w:pPr>
              <w:spacing w:line="580" w:lineRule="exact"/>
              <w:ind w:firstLine="90" w:firstLineChars="50"/>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360" w:type="dxa"/>
            <w:vMerge w:val="continue"/>
            <w:tcBorders>
              <w:top w:val="single" w:color="auto" w:sz="2" w:space="0"/>
              <w:left w:val="nil"/>
              <w:bottom w:val="single" w:color="auto" w:sz="4" w:space="0"/>
              <w:right w:val="single" w:color="auto" w:sz="4" w:space="0"/>
            </w:tcBorders>
          </w:tcPr>
          <w:p w14:paraId="2D199B58">
            <w:pPr>
              <w:spacing w:line="580" w:lineRule="exact"/>
              <w:rPr>
                <w:rFonts w:asciiTheme="minorEastAsia" w:hAnsiTheme="minorEastAsia" w:cstheme="minorEastAsia"/>
                <w:sz w:val="18"/>
                <w:szCs w:val="18"/>
              </w:rPr>
            </w:pPr>
          </w:p>
        </w:tc>
        <w:tc>
          <w:tcPr>
            <w:tcW w:w="1260" w:type="dxa"/>
            <w:vMerge w:val="continue"/>
            <w:tcBorders>
              <w:top w:val="single" w:color="auto" w:sz="2" w:space="0"/>
              <w:left w:val="nil"/>
              <w:bottom w:val="single" w:color="auto" w:sz="4" w:space="0"/>
              <w:right w:val="single" w:color="auto" w:sz="4" w:space="0"/>
            </w:tcBorders>
          </w:tcPr>
          <w:p w14:paraId="4BB711DF">
            <w:pPr>
              <w:spacing w:line="580" w:lineRule="exact"/>
              <w:rPr>
                <w:rFonts w:asciiTheme="minorEastAsia" w:hAnsiTheme="minorEastAsia" w:cstheme="minorEastAsia"/>
                <w:sz w:val="18"/>
                <w:szCs w:val="18"/>
              </w:rPr>
            </w:pPr>
          </w:p>
        </w:tc>
      </w:tr>
      <w:tr w14:paraId="4A6A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155" w:type="dxa"/>
            <w:vMerge w:val="continue"/>
            <w:tcBorders>
              <w:top w:val="nil"/>
              <w:left w:val="single" w:color="auto" w:sz="12" w:space="0"/>
              <w:bottom w:val="single" w:color="auto" w:sz="4" w:space="0"/>
              <w:right w:val="single" w:color="auto" w:sz="4" w:space="0"/>
            </w:tcBorders>
            <w:vAlign w:val="center"/>
          </w:tcPr>
          <w:p w14:paraId="73C495B7">
            <w:pPr>
              <w:spacing w:line="580" w:lineRule="exact"/>
              <w:rPr>
                <w:rFonts w:asciiTheme="minorEastAsia" w:hAnsiTheme="minorEastAsia" w:cstheme="minorEastAsia"/>
                <w:sz w:val="18"/>
                <w:szCs w:val="18"/>
              </w:rPr>
            </w:pPr>
          </w:p>
        </w:tc>
        <w:tc>
          <w:tcPr>
            <w:tcW w:w="1365" w:type="dxa"/>
            <w:tcBorders>
              <w:top w:val="single" w:color="auto" w:sz="4" w:space="0"/>
              <w:left w:val="nil"/>
              <w:bottom w:val="single" w:color="auto" w:sz="4" w:space="0"/>
              <w:right w:val="single" w:color="auto" w:sz="4" w:space="0"/>
            </w:tcBorders>
          </w:tcPr>
          <w:p w14:paraId="20E917AB">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第二节</w:t>
            </w:r>
          </w:p>
        </w:tc>
        <w:tc>
          <w:tcPr>
            <w:tcW w:w="3780" w:type="dxa"/>
            <w:tcBorders>
              <w:top w:val="single" w:color="auto" w:sz="4" w:space="0"/>
              <w:left w:val="nil"/>
              <w:bottom w:val="single" w:color="auto" w:sz="4" w:space="0"/>
              <w:right w:val="single" w:color="auto" w:sz="4" w:space="0"/>
            </w:tcBorders>
          </w:tcPr>
          <w:p w14:paraId="19E218BB">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金融与金融学</w:t>
            </w:r>
          </w:p>
        </w:tc>
        <w:tc>
          <w:tcPr>
            <w:tcW w:w="1080" w:type="dxa"/>
            <w:vMerge w:val="continue"/>
            <w:tcBorders>
              <w:top w:val="single" w:color="auto" w:sz="2" w:space="0"/>
              <w:left w:val="nil"/>
              <w:bottom w:val="single" w:color="auto" w:sz="4" w:space="0"/>
              <w:right w:val="single" w:color="auto" w:sz="4" w:space="0"/>
            </w:tcBorders>
          </w:tcPr>
          <w:p w14:paraId="550F489E">
            <w:pPr>
              <w:spacing w:line="580" w:lineRule="exact"/>
              <w:rPr>
                <w:rFonts w:asciiTheme="minorEastAsia" w:hAnsiTheme="minorEastAsia" w:cstheme="minorEastAsia"/>
                <w:sz w:val="18"/>
                <w:szCs w:val="18"/>
              </w:rPr>
            </w:pPr>
          </w:p>
        </w:tc>
        <w:tc>
          <w:tcPr>
            <w:tcW w:w="596" w:type="dxa"/>
            <w:vMerge w:val="continue"/>
            <w:tcBorders>
              <w:top w:val="nil"/>
              <w:left w:val="nil"/>
              <w:bottom w:val="single" w:color="auto" w:sz="4" w:space="0"/>
              <w:right w:val="single" w:color="auto" w:sz="4" w:space="0"/>
            </w:tcBorders>
          </w:tcPr>
          <w:p w14:paraId="0BF26D25">
            <w:pPr>
              <w:spacing w:line="580" w:lineRule="exact"/>
              <w:rPr>
                <w:rFonts w:asciiTheme="minorEastAsia" w:hAnsiTheme="minorEastAsia" w:cstheme="minorEastAsia"/>
                <w:sz w:val="18"/>
                <w:szCs w:val="18"/>
              </w:rPr>
            </w:pPr>
          </w:p>
        </w:tc>
        <w:tc>
          <w:tcPr>
            <w:tcW w:w="360" w:type="dxa"/>
            <w:vMerge w:val="continue"/>
            <w:tcBorders>
              <w:top w:val="single" w:color="auto" w:sz="2" w:space="0"/>
              <w:left w:val="nil"/>
              <w:bottom w:val="single" w:color="auto" w:sz="4" w:space="0"/>
              <w:right w:val="single" w:color="auto" w:sz="4" w:space="0"/>
            </w:tcBorders>
          </w:tcPr>
          <w:p w14:paraId="4D9E03AB">
            <w:pPr>
              <w:spacing w:line="580" w:lineRule="exact"/>
              <w:rPr>
                <w:rFonts w:asciiTheme="minorEastAsia" w:hAnsiTheme="minorEastAsia" w:cstheme="minorEastAsia"/>
                <w:sz w:val="18"/>
                <w:szCs w:val="18"/>
              </w:rPr>
            </w:pPr>
          </w:p>
        </w:tc>
        <w:tc>
          <w:tcPr>
            <w:tcW w:w="1260" w:type="dxa"/>
            <w:vMerge w:val="continue"/>
            <w:tcBorders>
              <w:top w:val="single" w:color="auto" w:sz="2" w:space="0"/>
              <w:left w:val="nil"/>
              <w:bottom w:val="single" w:color="auto" w:sz="4" w:space="0"/>
              <w:right w:val="single" w:color="auto" w:sz="4" w:space="0"/>
            </w:tcBorders>
          </w:tcPr>
          <w:p w14:paraId="0BD41C9E">
            <w:pPr>
              <w:spacing w:line="580" w:lineRule="exact"/>
              <w:rPr>
                <w:rFonts w:asciiTheme="minorEastAsia" w:hAnsiTheme="minorEastAsia" w:cstheme="minorEastAsia"/>
                <w:sz w:val="18"/>
                <w:szCs w:val="18"/>
              </w:rPr>
            </w:pPr>
          </w:p>
        </w:tc>
      </w:tr>
      <w:tr w14:paraId="66C7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155" w:type="dxa"/>
            <w:vMerge w:val="continue"/>
            <w:tcBorders>
              <w:top w:val="nil"/>
              <w:left w:val="single" w:color="auto" w:sz="12" w:space="0"/>
              <w:bottom w:val="single" w:color="auto" w:sz="4" w:space="0"/>
              <w:right w:val="single" w:color="auto" w:sz="4" w:space="0"/>
            </w:tcBorders>
            <w:vAlign w:val="center"/>
          </w:tcPr>
          <w:p w14:paraId="17760E8B">
            <w:pPr>
              <w:spacing w:line="580" w:lineRule="exact"/>
              <w:rPr>
                <w:rFonts w:asciiTheme="minorEastAsia" w:hAnsiTheme="minorEastAsia" w:cstheme="minorEastAsia"/>
                <w:sz w:val="18"/>
                <w:szCs w:val="18"/>
              </w:rPr>
            </w:pPr>
          </w:p>
        </w:tc>
        <w:tc>
          <w:tcPr>
            <w:tcW w:w="1365" w:type="dxa"/>
            <w:tcBorders>
              <w:top w:val="single" w:color="auto" w:sz="4" w:space="0"/>
              <w:left w:val="nil"/>
              <w:bottom w:val="single" w:color="auto" w:sz="4" w:space="0"/>
              <w:right w:val="single" w:color="auto" w:sz="4" w:space="0"/>
            </w:tcBorders>
          </w:tcPr>
          <w:p w14:paraId="5323D705">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第三节</w:t>
            </w:r>
          </w:p>
        </w:tc>
        <w:tc>
          <w:tcPr>
            <w:tcW w:w="3780" w:type="dxa"/>
            <w:tcBorders>
              <w:top w:val="single" w:color="auto" w:sz="4" w:space="0"/>
              <w:left w:val="nil"/>
              <w:bottom w:val="single" w:color="auto" w:sz="4" w:space="0"/>
              <w:right w:val="single" w:color="auto" w:sz="4" w:space="0"/>
            </w:tcBorders>
          </w:tcPr>
          <w:p w14:paraId="4E0A17AC">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金融与经济</w:t>
            </w:r>
          </w:p>
        </w:tc>
        <w:tc>
          <w:tcPr>
            <w:tcW w:w="1080" w:type="dxa"/>
            <w:vMerge w:val="continue"/>
            <w:tcBorders>
              <w:top w:val="single" w:color="auto" w:sz="2" w:space="0"/>
              <w:left w:val="nil"/>
              <w:bottom w:val="single" w:color="auto" w:sz="4" w:space="0"/>
              <w:right w:val="single" w:color="auto" w:sz="4" w:space="0"/>
            </w:tcBorders>
          </w:tcPr>
          <w:p w14:paraId="5CD75455">
            <w:pPr>
              <w:spacing w:line="580" w:lineRule="exact"/>
              <w:rPr>
                <w:rFonts w:asciiTheme="minorEastAsia" w:hAnsiTheme="minorEastAsia" w:cstheme="minorEastAsia"/>
                <w:sz w:val="18"/>
                <w:szCs w:val="18"/>
              </w:rPr>
            </w:pPr>
          </w:p>
        </w:tc>
        <w:tc>
          <w:tcPr>
            <w:tcW w:w="596" w:type="dxa"/>
            <w:tcBorders>
              <w:top w:val="single" w:color="auto" w:sz="4" w:space="0"/>
              <w:left w:val="nil"/>
              <w:bottom w:val="single" w:color="auto" w:sz="2" w:space="0"/>
              <w:right w:val="single" w:color="auto" w:sz="4" w:space="0"/>
            </w:tcBorders>
          </w:tcPr>
          <w:p w14:paraId="0B08F308">
            <w:pPr>
              <w:spacing w:line="580" w:lineRule="exact"/>
              <w:ind w:firstLine="90" w:firstLineChars="50"/>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360" w:type="dxa"/>
            <w:vMerge w:val="continue"/>
            <w:tcBorders>
              <w:top w:val="single" w:color="auto" w:sz="2" w:space="0"/>
              <w:left w:val="nil"/>
              <w:bottom w:val="single" w:color="auto" w:sz="4" w:space="0"/>
              <w:right w:val="single" w:color="auto" w:sz="4" w:space="0"/>
            </w:tcBorders>
          </w:tcPr>
          <w:p w14:paraId="71677D5E">
            <w:pPr>
              <w:spacing w:line="580" w:lineRule="exact"/>
              <w:rPr>
                <w:rFonts w:asciiTheme="minorEastAsia" w:hAnsiTheme="minorEastAsia" w:cstheme="minorEastAsia"/>
                <w:sz w:val="18"/>
                <w:szCs w:val="18"/>
              </w:rPr>
            </w:pPr>
          </w:p>
        </w:tc>
        <w:tc>
          <w:tcPr>
            <w:tcW w:w="1260" w:type="dxa"/>
            <w:vMerge w:val="continue"/>
            <w:tcBorders>
              <w:top w:val="single" w:color="auto" w:sz="2" w:space="0"/>
              <w:left w:val="nil"/>
              <w:bottom w:val="single" w:color="auto" w:sz="4" w:space="0"/>
              <w:right w:val="single" w:color="auto" w:sz="4" w:space="0"/>
            </w:tcBorders>
          </w:tcPr>
          <w:p w14:paraId="51FF99E2">
            <w:pPr>
              <w:spacing w:line="580" w:lineRule="exact"/>
              <w:rPr>
                <w:rFonts w:asciiTheme="minorEastAsia" w:hAnsiTheme="minorEastAsia" w:cstheme="minorEastAsia"/>
                <w:sz w:val="18"/>
                <w:szCs w:val="18"/>
              </w:rPr>
            </w:pPr>
          </w:p>
        </w:tc>
      </w:tr>
      <w:tr w14:paraId="5BCC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155" w:type="dxa"/>
            <w:vMerge w:val="restart"/>
            <w:tcBorders>
              <w:top w:val="nil"/>
              <w:left w:val="single" w:color="auto" w:sz="12" w:space="0"/>
              <w:bottom w:val="single" w:color="auto" w:sz="4" w:space="0"/>
              <w:right w:val="single" w:color="auto" w:sz="4" w:space="0"/>
            </w:tcBorders>
            <w:vAlign w:val="center"/>
          </w:tcPr>
          <w:p w14:paraId="287426E7">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2</w:t>
            </w:r>
          </w:p>
          <w:p w14:paraId="4F78FBD0">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3</w:t>
            </w:r>
          </w:p>
          <w:p w14:paraId="54B9D7F8">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4</w:t>
            </w:r>
          </w:p>
        </w:tc>
        <w:tc>
          <w:tcPr>
            <w:tcW w:w="1365" w:type="dxa"/>
            <w:tcBorders>
              <w:top w:val="single" w:color="auto" w:sz="4" w:space="0"/>
              <w:left w:val="nil"/>
              <w:bottom w:val="single" w:color="auto" w:sz="4" w:space="0"/>
              <w:right w:val="single" w:color="auto" w:sz="4" w:space="0"/>
            </w:tcBorders>
          </w:tcPr>
          <w:p w14:paraId="77CC5A68">
            <w:pPr>
              <w:spacing w:line="580" w:lineRule="exact"/>
              <w:ind w:firstLine="180" w:firstLineChars="100"/>
              <w:rPr>
                <w:rFonts w:asciiTheme="minorEastAsia" w:hAnsiTheme="minorEastAsia" w:cstheme="minorEastAsia"/>
                <w:sz w:val="18"/>
                <w:szCs w:val="18"/>
              </w:rPr>
            </w:pPr>
            <w:r>
              <w:rPr>
                <w:rFonts w:hint="eastAsia" w:asciiTheme="minorEastAsia" w:hAnsiTheme="minorEastAsia" w:cstheme="minorEastAsia"/>
                <w:sz w:val="18"/>
                <w:szCs w:val="18"/>
              </w:rPr>
              <w:t>第二章</w:t>
            </w:r>
          </w:p>
        </w:tc>
        <w:tc>
          <w:tcPr>
            <w:tcW w:w="3780" w:type="dxa"/>
            <w:tcBorders>
              <w:top w:val="single" w:color="auto" w:sz="4" w:space="0"/>
              <w:left w:val="nil"/>
              <w:bottom w:val="single" w:color="auto" w:sz="4" w:space="0"/>
              <w:right w:val="single" w:color="auto" w:sz="4" w:space="0"/>
            </w:tcBorders>
          </w:tcPr>
          <w:p w14:paraId="0C007AE7">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货币与货币制度</w:t>
            </w:r>
          </w:p>
        </w:tc>
        <w:tc>
          <w:tcPr>
            <w:tcW w:w="1080" w:type="dxa"/>
            <w:vMerge w:val="restart"/>
            <w:tcBorders>
              <w:top w:val="nil"/>
              <w:left w:val="nil"/>
              <w:bottom w:val="single" w:color="auto" w:sz="4" w:space="0"/>
              <w:right w:val="single" w:color="auto" w:sz="4" w:space="0"/>
            </w:tcBorders>
          </w:tcPr>
          <w:p w14:paraId="0FB0BC17">
            <w:pPr>
              <w:spacing w:line="580" w:lineRule="exact"/>
              <w:rPr>
                <w:rFonts w:asciiTheme="minorEastAsia" w:hAnsiTheme="minorEastAsia" w:cstheme="minorEastAsia"/>
                <w:sz w:val="18"/>
                <w:szCs w:val="18"/>
              </w:rPr>
            </w:pPr>
          </w:p>
          <w:p w14:paraId="6BAEBEB9">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理论讲授案例讨论</w:t>
            </w:r>
          </w:p>
        </w:tc>
        <w:tc>
          <w:tcPr>
            <w:tcW w:w="596" w:type="dxa"/>
            <w:tcBorders>
              <w:top w:val="single" w:color="auto" w:sz="2" w:space="0"/>
              <w:left w:val="nil"/>
              <w:bottom w:val="single" w:color="auto" w:sz="4" w:space="0"/>
              <w:right w:val="single" w:color="auto" w:sz="4" w:space="0"/>
            </w:tcBorders>
          </w:tcPr>
          <w:p w14:paraId="110A2B06">
            <w:pPr>
              <w:spacing w:line="580" w:lineRule="exact"/>
              <w:ind w:firstLine="90" w:firstLineChars="50"/>
              <w:rPr>
                <w:rFonts w:asciiTheme="minorEastAsia" w:hAnsiTheme="minorEastAsia" w:cstheme="minorEastAsia"/>
                <w:sz w:val="18"/>
                <w:szCs w:val="18"/>
              </w:rPr>
            </w:pPr>
            <w:r>
              <w:rPr>
                <w:rFonts w:hint="eastAsia" w:asciiTheme="minorEastAsia" w:hAnsiTheme="minorEastAsia" w:cstheme="minorEastAsia"/>
                <w:sz w:val="18"/>
                <w:szCs w:val="18"/>
              </w:rPr>
              <w:t>6</w:t>
            </w:r>
          </w:p>
        </w:tc>
        <w:tc>
          <w:tcPr>
            <w:tcW w:w="360" w:type="dxa"/>
            <w:vMerge w:val="restart"/>
            <w:tcBorders>
              <w:top w:val="nil"/>
              <w:left w:val="nil"/>
              <w:bottom w:val="single" w:color="auto" w:sz="4" w:space="0"/>
              <w:right w:val="single" w:color="auto" w:sz="4" w:space="0"/>
            </w:tcBorders>
          </w:tcPr>
          <w:p w14:paraId="5FC5C6D6">
            <w:pPr>
              <w:spacing w:line="580" w:lineRule="exact"/>
              <w:jc w:val="center"/>
              <w:rPr>
                <w:rFonts w:asciiTheme="minorEastAsia" w:hAnsiTheme="minorEastAsia" w:cstheme="minorEastAsia"/>
                <w:sz w:val="18"/>
                <w:szCs w:val="18"/>
              </w:rPr>
            </w:pPr>
          </w:p>
          <w:p w14:paraId="0F03D09E">
            <w:pPr>
              <w:spacing w:line="580" w:lineRule="exact"/>
              <w:jc w:val="center"/>
              <w:rPr>
                <w:rFonts w:asciiTheme="minorEastAsia" w:hAnsiTheme="minorEastAsia" w:cstheme="minorEastAsia"/>
                <w:sz w:val="18"/>
                <w:szCs w:val="18"/>
              </w:rPr>
            </w:pPr>
          </w:p>
          <w:p w14:paraId="4430045B">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1260" w:type="dxa"/>
            <w:vMerge w:val="restart"/>
            <w:tcBorders>
              <w:top w:val="nil"/>
              <w:left w:val="nil"/>
              <w:bottom w:val="single" w:color="auto" w:sz="4" w:space="0"/>
              <w:right w:val="single" w:color="auto" w:sz="4" w:space="0"/>
            </w:tcBorders>
          </w:tcPr>
          <w:p w14:paraId="672A8F43">
            <w:pPr>
              <w:spacing w:line="58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案例</w:t>
            </w:r>
            <w:r>
              <w:rPr>
                <w:rFonts w:hint="eastAsia" w:asciiTheme="minorEastAsia" w:hAnsiTheme="minorEastAsia" w:cstheme="minorEastAsia"/>
                <w:sz w:val="18"/>
                <w:szCs w:val="18"/>
              </w:rPr>
              <w:t>讨论章节</w:t>
            </w:r>
            <w:r>
              <w:rPr>
                <w:rFonts w:hint="eastAsia" w:asciiTheme="minorEastAsia" w:hAnsiTheme="minorEastAsia" w:cstheme="minorEastAsia"/>
                <w:color w:val="000000"/>
                <w:sz w:val="18"/>
                <w:szCs w:val="18"/>
              </w:rPr>
              <w:t>课后习题</w:t>
            </w:r>
          </w:p>
        </w:tc>
      </w:tr>
      <w:tr w14:paraId="70D7C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155" w:type="dxa"/>
            <w:vMerge w:val="continue"/>
            <w:tcBorders>
              <w:top w:val="nil"/>
              <w:left w:val="single" w:color="auto" w:sz="12" w:space="0"/>
              <w:bottom w:val="single" w:color="auto" w:sz="4" w:space="0"/>
              <w:right w:val="single" w:color="auto" w:sz="4" w:space="0"/>
            </w:tcBorders>
            <w:vAlign w:val="center"/>
          </w:tcPr>
          <w:p w14:paraId="586873D6">
            <w:pPr>
              <w:spacing w:line="580" w:lineRule="exact"/>
              <w:rPr>
                <w:rFonts w:asciiTheme="minorEastAsia" w:hAnsiTheme="minorEastAsia" w:cstheme="minorEastAsia"/>
                <w:sz w:val="18"/>
                <w:szCs w:val="18"/>
              </w:rPr>
            </w:pPr>
          </w:p>
        </w:tc>
        <w:tc>
          <w:tcPr>
            <w:tcW w:w="1365" w:type="dxa"/>
            <w:tcBorders>
              <w:top w:val="single" w:color="auto" w:sz="4" w:space="0"/>
              <w:left w:val="nil"/>
              <w:bottom w:val="single" w:color="auto" w:sz="4" w:space="0"/>
              <w:right w:val="single" w:color="auto" w:sz="4" w:space="0"/>
            </w:tcBorders>
          </w:tcPr>
          <w:p w14:paraId="1F7935B3">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第一节</w:t>
            </w:r>
          </w:p>
        </w:tc>
        <w:tc>
          <w:tcPr>
            <w:tcW w:w="3780" w:type="dxa"/>
            <w:tcBorders>
              <w:top w:val="single" w:color="auto" w:sz="4" w:space="0"/>
              <w:left w:val="nil"/>
              <w:bottom w:val="single" w:color="auto" w:sz="4" w:space="0"/>
              <w:right w:val="single" w:color="auto" w:sz="4" w:space="0"/>
            </w:tcBorders>
          </w:tcPr>
          <w:p w14:paraId="2B9662A9">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货币概述</w:t>
            </w:r>
          </w:p>
        </w:tc>
        <w:tc>
          <w:tcPr>
            <w:tcW w:w="1080" w:type="dxa"/>
            <w:vMerge w:val="continue"/>
            <w:tcBorders>
              <w:top w:val="nil"/>
              <w:left w:val="nil"/>
              <w:bottom w:val="single" w:color="auto" w:sz="4" w:space="0"/>
              <w:right w:val="single" w:color="auto" w:sz="4" w:space="0"/>
            </w:tcBorders>
          </w:tcPr>
          <w:p w14:paraId="5C18A481">
            <w:pPr>
              <w:spacing w:line="580" w:lineRule="exact"/>
              <w:rPr>
                <w:rFonts w:asciiTheme="minorEastAsia" w:hAnsiTheme="minorEastAsia" w:cstheme="minorEastAsia"/>
                <w:sz w:val="18"/>
                <w:szCs w:val="18"/>
              </w:rPr>
            </w:pPr>
          </w:p>
        </w:tc>
        <w:tc>
          <w:tcPr>
            <w:tcW w:w="596" w:type="dxa"/>
            <w:tcBorders>
              <w:top w:val="single" w:color="auto" w:sz="4" w:space="0"/>
              <w:left w:val="nil"/>
              <w:bottom w:val="single" w:color="auto" w:sz="4" w:space="0"/>
              <w:right w:val="single" w:color="auto" w:sz="4" w:space="0"/>
            </w:tcBorders>
          </w:tcPr>
          <w:p w14:paraId="687F1D8C">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360" w:type="dxa"/>
            <w:vMerge w:val="continue"/>
            <w:tcBorders>
              <w:top w:val="nil"/>
              <w:left w:val="nil"/>
              <w:bottom w:val="single" w:color="auto" w:sz="4" w:space="0"/>
              <w:right w:val="single" w:color="auto" w:sz="4" w:space="0"/>
            </w:tcBorders>
          </w:tcPr>
          <w:p w14:paraId="5FE25E29">
            <w:pPr>
              <w:spacing w:line="580" w:lineRule="exact"/>
              <w:rPr>
                <w:rFonts w:asciiTheme="minorEastAsia" w:hAnsiTheme="minorEastAsia" w:cstheme="minorEastAsia"/>
                <w:sz w:val="18"/>
                <w:szCs w:val="18"/>
              </w:rPr>
            </w:pPr>
          </w:p>
        </w:tc>
        <w:tc>
          <w:tcPr>
            <w:tcW w:w="1260" w:type="dxa"/>
            <w:vMerge w:val="continue"/>
            <w:tcBorders>
              <w:top w:val="nil"/>
              <w:left w:val="nil"/>
              <w:bottom w:val="single" w:color="auto" w:sz="4" w:space="0"/>
              <w:right w:val="single" w:color="auto" w:sz="4" w:space="0"/>
            </w:tcBorders>
          </w:tcPr>
          <w:p w14:paraId="138FD376">
            <w:pPr>
              <w:spacing w:line="580" w:lineRule="exact"/>
              <w:rPr>
                <w:rFonts w:asciiTheme="minorEastAsia" w:hAnsiTheme="minorEastAsia" w:cstheme="minorEastAsia"/>
                <w:sz w:val="18"/>
                <w:szCs w:val="18"/>
              </w:rPr>
            </w:pPr>
          </w:p>
        </w:tc>
      </w:tr>
      <w:tr w14:paraId="3E1F1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155" w:type="dxa"/>
            <w:vMerge w:val="continue"/>
            <w:tcBorders>
              <w:top w:val="nil"/>
              <w:left w:val="single" w:color="auto" w:sz="12" w:space="0"/>
              <w:bottom w:val="single" w:color="auto" w:sz="4" w:space="0"/>
              <w:right w:val="single" w:color="auto" w:sz="4" w:space="0"/>
            </w:tcBorders>
            <w:vAlign w:val="center"/>
          </w:tcPr>
          <w:p w14:paraId="663A1C8E">
            <w:pPr>
              <w:spacing w:line="580" w:lineRule="exact"/>
              <w:rPr>
                <w:rFonts w:asciiTheme="minorEastAsia" w:hAnsiTheme="minorEastAsia" w:cstheme="minorEastAsia"/>
                <w:sz w:val="18"/>
                <w:szCs w:val="18"/>
              </w:rPr>
            </w:pPr>
          </w:p>
        </w:tc>
        <w:tc>
          <w:tcPr>
            <w:tcW w:w="1365" w:type="dxa"/>
            <w:tcBorders>
              <w:top w:val="single" w:color="auto" w:sz="4" w:space="0"/>
              <w:left w:val="nil"/>
              <w:bottom w:val="single" w:color="auto" w:sz="4" w:space="0"/>
              <w:right w:val="single" w:color="auto" w:sz="4" w:space="0"/>
            </w:tcBorders>
          </w:tcPr>
          <w:p w14:paraId="4C9DD14F">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第二节</w:t>
            </w:r>
          </w:p>
        </w:tc>
        <w:tc>
          <w:tcPr>
            <w:tcW w:w="3780" w:type="dxa"/>
            <w:tcBorders>
              <w:top w:val="single" w:color="auto" w:sz="4" w:space="0"/>
              <w:left w:val="nil"/>
              <w:bottom w:val="single" w:color="auto" w:sz="4" w:space="0"/>
              <w:right w:val="single" w:color="auto" w:sz="4" w:space="0"/>
            </w:tcBorders>
          </w:tcPr>
          <w:p w14:paraId="2BADD6A0">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货币制度</w:t>
            </w:r>
          </w:p>
        </w:tc>
        <w:tc>
          <w:tcPr>
            <w:tcW w:w="1080" w:type="dxa"/>
            <w:vMerge w:val="continue"/>
            <w:tcBorders>
              <w:top w:val="nil"/>
              <w:left w:val="nil"/>
              <w:bottom w:val="single" w:color="auto" w:sz="4" w:space="0"/>
              <w:right w:val="single" w:color="auto" w:sz="4" w:space="0"/>
            </w:tcBorders>
          </w:tcPr>
          <w:p w14:paraId="121399E1">
            <w:pPr>
              <w:spacing w:line="580" w:lineRule="exact"/>
              <w:rPr>
                <w:rFonts w:asciiTheme="minorEastAsia" w:hAnsiTheme="minorEastAsia" w:cstheme="minorEastAsia"/>
                <w:sz w:val="18"/>
                <w:szCs w:val="18"/>
              </w:rPr>
            </w:pPr>
          </w:p>
        </w:tc>
        <w:tc>
          <w:tcPr>
            <w:tcW w:w="596" w:type="dxa"/>
            <w:tcBorders>
              <w:top w:val="single" w:color="auto" w:sz="4" w:space="0"/>
              <w:left w:val="nil"/>
              <w:bottom w:val="single" w:color="auto" w:sz="4" w:space="0"/>
              <w:right w:val="single" w:color="auto" w:sz="4" w:space="0"/>
            </w:tcBorders>
          </w:tcPr>
          <w:p w14:paraId="4DB3FD86">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4</w:t>
            </w:r>
          </w:p>
        </w:tc>
        <w:tc>
          <w:tcPr>
            <w:tcW w:w="360" w:type="dxa"/>
            <w:vMerge w:val="continue"/>
            <w:tcBorders>
              <w:top w:val="nil"/>
              <w:left w:val="nil"/>
              <w:bottom w:val="single" w:color="auto" w:sz="4" w:space="0"/>
              <w:right w:val="single" w:color="auto" w:sz="4" w:space="0"/>
            </w:tcBorders>
          </w:tcPr>
          <w:p w14:paraId="21DB194B">
            <w:pPr>
              <w:spacing w:line="580" w:lineRule="exact"/>
              <w:rPr>
                <w:rFonts w:asciiTheme="minorEastAsia" w:hAnsiTheme="minorEastAsia" w:cstheme="minorEastAsia"/>
                <w:sz w:val="18"/>
                <w:szCs w:val="18"/>
              </w:rPr>
            </w:pPr>
          </w:p>
        </w:tc>
        <w:tc>
          <w:tcPr>
            <w:tcW w:w="1260" w:type="dxa"/>
            <w:vMerge w:val="continue"/>
            <w:tcBorders>
              <w:top w:val="nil"/>
              <w:left w:val="nil"/>
              <w:bottom w:val="single" w:color="auto" w:sz="4" w:space="0"/>
              <w:right w:val="single" w:color="auto" w:sz="4" w:space="0"/>
            </w:tcBorders>
          </w:tcPr>
          <w:p w14:paraId="61B0D765">
            <w:pPr>
              <w:spacing w:line="580" w:lineRule="exact"/>
              <w:rPr>
                <w:rFonts w:asciiTheme="minorEastAsia" w:hAnsiTheme="minorEastAsia" w:cstheme="minorEastAsia"/>
                <w:sz w:val="18"/>
                <w:szCs w:val="18"/>
              </w:rPr>
            </w:pPr>
          </w:p>
        </w:tc>
      </w:tr>
      <w:tr w14:paraId="49CCA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155" w:type="dxa"/>
            <w:vMerge w:val="restart"/>
            <w:tcBorders>
              <w:top w:val="nil"/>
              <w:left w:val="single" w:color="auto" w:sz="12" w:space="0"/>
              <w:bottom w:val="single" w:color="auto" w:sz="4" w:space="0"/>
              <w:right w:val="single" w:color="auto" w:sz="4" w:space="0"/>
            </w:tcBorders>
            <w:vAlign w:val="center"/>
          </w:tcPr>
          <w:p w14:paraId="5581F0AE">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4</w:t>
            </w:r>
          </w:p>
          <w:p w14:paraId="313B4533">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5</w:t>
            </w:r>
          </w:p>
          <w:p w14:paraId="2A242373">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6</w:t>
            </w:r>
          </w:p>
          <w:p w14:paraId="744D7D3D">
            <w:pPr>
              <w:spacing w:line="580" w:lineRule="exact"/>
              <w:jc w:val="center"/>
              <w:rPr>
                <w:rFonts w:asciiTheme="minorEastAsia" w:hAnsiTheme="minorEastAsia" w:cstheme="minorEastAsia"/>
                <w:sz w:val="18"/>
                <w:szCs w:val="18"/>
              </w:rPr>
            </w:pPr>
          </w:p>
        </w:tc>
        <w:tc>
          <w:tcPr>
            <w:tcW w:w="1365" w:type="dxa"/>
            <w:tcBorders>
              <w:top w:val="single" w:color="auto" w:sz="4" w:space="0"/>
              <w:left w:val="nil"/>
              <w:bottom w:val="single" w:color="auto" w:sz="4" w:space="0"/>
              <w:right w:val="single" w:color="auto" w:sz="4" w:space="0"/>
            </w:tcBorders>
          </w:tcPr>
          <w:p w14:paraId="06A5EAE4">
            <w:pPr>
              <w:spacing w:line="580" w:lineRule="exact"/>
              <w:ind w:firstLine="180" w:firstLineChars="100"/>
              <w:rPr>
                <w:rFonts w:asciiTheme="minorEastAsia" w:hAnsiTheme="minorEastAsia" w:cstheme="minorEastAsia"/>
                <w:sz w:val="18"/>
                <w:szCs w:val="18"/>
              </w:rPr>
            </w:pPr>
            <w:r>
              <w:rPr>
                <w:rFonts w:hint="eastAsia" w:asciiTheme="minorEastAsia" w:hAnsiTheme="minorEastAsia" w:cstheme="minorEastAsia"/>
                <w:sz w:val="18"/>
                <w:szCs w:val="18"/>
              </w:rPr>
              <w:t>第三章</w:t>
            </w:r>
          </w:p>
        </w:tc>
        <w:tc>
          <w:tcPr>
            <w:tcW w:w="3780" w:type="dxa"/>
            <w:tcBorders>
              <w:top w:val="single" w:color="auto" w:sz="4" w:space="0"/>
              <w:left w:val="nil"/>
              <w:bottom w:val="single" w:color="auto" w:sz="4" w:space="0"/>
              <w:right w:val="single" w:color="auto" w:sz="4" w:space="0"/>
            </w:tcBorders>
          </w:tcPr>
          <w:p w14:paraId="0112B219">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信用与信用工具</w:t>
            </w:r>
          </w:p>
        </w:tc>
        <w:tc>
          <w:tcPr>
            <w:tcW w:w="1080" w:type="dxa"/>
            <w:vMerge w:val="restart"/>
            <w:tcBorders>
              <w:top w:val="single" w:color="auto" w:sz="2" w:space="0"/>
              <w:left w:val="nil"/>
              <w:bottom w:val="single" w:color="auto" w:sz="4" w:space="0"/>
              <w:right w:val="single" w:color="auto" w:sz="4" w:space="0"/>
            </w:tcBorders>
          </w:tcPr>
          <w:p w14:paraId="043F6651">
            <w:pPr>
              <w:spacing w:line="580" w:lineRule="exact"/>
              <w:rPr>
                <w:rFonts w:asciiTheme="minorEastAsia" w:hAnsiTheme="minorEastAsia" w:cstheme="minorEastAsia"/>
                <w:sz w:val="18"/>
                <w:szCs w:val="18"/>
              </w:rPr>
            </w:pPr>
          </w:p>
          <w:p w14:paraId="3FB57B5A">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理论讲授</w:t>
            </w:r>
          </w:p>
          <w:p w14:paraId="39DA753A">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案例讨论</w:t>
            </w:r>
          </w:p>
          <w:p w14:paraId="0D97C32C">
            <w:pPr>
              <w:spacing w:line="580" w:lineRule="exact"/>
              <w:rPr>
                <w:rFonts w:asciiTheme="minorEastAsia" w:hAnsiTheme="minorEastAsia" w:cstheme="minorEastAsia"/>
                <w:sz w:val="18"/>
                <w:szCs w:val="18"/>
              </w:rPr>
            </w:pPr>
          </w:p>
        </w:tc>
        <w:tc>
          <w:tcPr>
            <w:tcW w:w="596" w:type="dxa"/>
            <w:tcBorders>
              <w:top w:val="single" w:color="auto" w:sz="2" w:space="0"/>
              <w:left w:val="nil"/>
              <w:bottom w:val="single" w:color="auto" w:sz="4" w:space="0"/>
              <w:right w:val="single" w:color="auto" w:sz="4" w:space="0"/>
            </w:tcBorders>
          </w:tcPr>
          <w:p w14:paraId="7179D0E7">
            <w:pPr>
              <w:spacing w:line="580" w:lineRule="exact"/>
              <w:ind w:firstLine="90" w:firstLineChars="50"/>
              <w:rPr>
                <w:rFonts w:asciiTheme="minorEastAsia" w:hAnsiTheme="minorEastAsia" w:cstheme="minorEastAsia"/>
                <w:sz w:val="18"/>
                <w:szCs w:val="18"/>
              </w:rPr>
            </w:pPr>
            <w:r>
              <w:rPr>
                <w:rFonts w:hint="eastAsia" w:asciiTheme="minorEastAsia" w:hAnsiTheme="minorEastAsia" w:cstheme="minorEastAsia"/>
                <w:sz w:val="18"/>
                <w:szCs w:val="18"/>
              </w:rPr>
              <w:t>6</w:t>
            </w:r>
          </w:p>
        </w:tc>
        <w:tc>
          <w:tcPr>
            <w:tcW w:w="360" w:type="dxa"/>
            <w:vMerge w:val="restart"/>
            <w:tcBorders>
              <w:top w:val="single" w:color="auto" w:sz="2" w:space="0"/>
              <w:left w:val="nil"/>
              <w:bottom w:val="single" w:color="auto" w:sz="4" w:space="0"/>
              <w:right w:val="single" w:color="auto" w:sz="4" w:space="0"/>
            </w:tcBorders>
          </w:tcPr>
          <w:p w14:paraId="6194645E">
            <w:pPr>
              <w:spacing w:line="580" w:lineRule="exact"/>
              <w:jc w:val="center"/>
              <w:rPr>
                <w:rFonts w:asciiTheme="minorEastAsia" w:hAnsiTheme="minorEastAsia" w:cstheme="minorEastAsia"/>
                <w:sz w:val="18"/>
                <w:szCs w:val="18"/>
              </w:rPr>
            </w:pPr>
          </w:p>
          <w:p w14:paraId="708A7455">
            <w:pPr>
              <w:spacing w:line="580" w:lineRule="exact"/>
              <w:jc w:val="center"/>
              <w:rPr>
                <w:rFonts w:asciiTheme="minorEastAsia" w:hAnsiTheme="minorEastAsia" w:cstheme="minorEastAsia"/>
                <w:sz w:val="18"/>
                <w:szCs w:val="18"/>
              </w:rPr>
            </w:pPr>
          </w:p>
          <w:p w14:paraId="52723B83">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4</w:t>
            </w:r>
          </w:p>
        </w:tc>
        <w:tc>
          <w:tcPr>
            <w:tcW w:w="1260" w:type="dxa"/>
            <w:vMerge w:val="restart"/>
            <w:tcBorders>
              <w:top w:val="single" w:color="auto" w:sz="2" w:space="0"/>
              <w:left w:val="nil"/>
              <w:bottom w:val="single" w:color="auto" w:sz="4" w:space="0"/>
              <w:right w:val="single" w:color="auto" w:sz="4" w:space="0"/>
            </w:tcBorders>
          </w:tcPr>
          <w:p w14:paraId="3DDC6362">
            <w:pPr>
              <w:spacing w:line="58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xml:space="preserve">章节课后习题 </w:t>
            </w:r>
          </w:p>
          <w:p w14:paraId="7E45E040">
            <w:pPr>
              <w:spacing w:line="580" w:lineRule="exact"/>
              <w:jc w:val="center"/>
              <w:rPr>
                <w:rFonts w:asciiTheme="minorEastAsia" w:hAnsiTheme="minorEastAsia" w:cstheme="minorEastAsia"/>
                <w:color w:val="000000"/>
                <w:sz w:val="18"/>
                <w:szCs w:val="18"/>
              </w:rPr>
            </w:pPr>
          </w:p>
          <w:p w14:paraId="1888A670">
            <w:pPr>
              <w:spacing w:line="580" w:lineRule="exact"/>
              <w:ind w:firstLine="210"/>
              <w:rPr>
                <w:rFonts w:asciiTheme="minorEastAsia" w:hAnsiTheme="minorEastAsia" w:cstheme="minorEastAsia"/>
                <w:sz w:val="18"/>
                <w:szCs w:val="18"/>
              </w:rPr>
            </w:pPr>
          </w:p>
        </w:tc>
      </w:tr>
      <w:tr w14:paraId="7733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155" w:type="dxa"/>
            <w:vMerge w:val="continue"/>
            <w:tcBorders>
              <w:top w:val="nil"/>
              <w:left w:val="single" w:color="auto" w:sz="12" w:space="0"/>
              <w:bottom w:val="single" w:color="auto" w:sz="4" w:space="0"/>
              <w:right w:val="single" w:color="auto" w:sz="4" w:space="0"/>
            </w:tcBorders>
            <w:vAlign w:val="center"/>
          </w:tcPr>
          <w:p w14:paraId="5B977AD3">
            <w:pPr>
              <w:spacing w:line="580" w:lineRule="exact"/>
              <w:rPr>
                <w:rFonts w:asciiTheme="minorEastAsia" w:hAnsiTheme="minorEastAsia" w:cstheme="minorEastAsia"/>
                <w:sz w:val="18"/>
                <w:szCs w:val="18"/>
              </w:rPr>
            </w:pPr>
          </w:p>
        </w:tc>
        <w:tc>
          <w:tcPr>
            <w:tcW w:w="1365" w:type="dxa"/>
            <w:tcBorders>
              <w:top w:val="single" w:color="auto" w:sz="4" w:space="0"/>
              <w:left w:val="nil"/>
              <w:bottom w:val="single" w:color="auto" w:sz="4" w:space="0"/>
              <w:right w:val="single" w:color="auto" w:sz="4" w:space="0"/>
            </w:tcBorders>
          </w:tcPr>
          <w:p w14:paraId="091DE640">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第一节</w:t>
            </w:r>
          </w:p>
        </w:tc>
        <w:tc>
          <w:tcPr>
            <w:tcW w:w="3780" w:type="dxa"/>
            <w:tcBorders>
              <w:top w:val="single" w:color="auto" w:sz="4" w:space="0"/>
              <w:left w:val="nil"/>
              <w:bottom w:val="single" w:color="auto" w:sz="4" w:space="0"/>
              <w:right w:val="single" w:color="auto" w:sz="4" w:space="0"/>
            </w:tcBorders>
          </w:tcPr>
          <w:p w14:paraId="67277244">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信用与信用形式</w:t>
            </w:r>
          </w:p>
        </w:tc>
        <w:tc>
          <w:tcPr>
            <w:tcW w:w="1080" w:type="dxa"/>
            <w:vMerge w:val="continue"/>
            <w:tcBorders>
              <w:top w:val="single" w:color="auto" w:sz="2" w:space="0"/>
              <w:left w:val="nil"/>
              <w:bottom w:val="single" w:color="auto" w:sz="4" w:space="0"/>
              <w:right w:val="single" w:color="auto" w:sz="4" w:space="0"/>
            </w:tcBorders>
          </w:tcPr>
          <w:p w14:paraId="14E7AA55">
            <w:pPr>
              <w:spacing w:line="580" w:lineRule="exact"/>
              <w:rPr>
                <w:rFonts w:asciiTheme="minorEastAsia" w:hAnsiTheme="minorEastAsia" w:cstheme="minorEastAsia"/>
                <w:sz w:val="18"/>
                <w:szCs w:val="18"/>
              </w:rPr>
            </w:pPr>
          </w:p>
        </w:tc>
        <w:tc>
          <w:tcPr>
            <w:tcW w:w="596" w:type="dxa"/>
            <w:tcBorders>
              <w:top w:val="single" w:color="auto" w:sz="4" w:space="0"/>
              <w:left w:val="nil"/>
              <w:bottom w:val="single" w:color="auto" w:sz="2" w:space="0"/>
              <w:right w:val="single" w:color="auto" w:sz="4" w:space="0"/>
            </w:tcBorders>
          </w:tcPr>
          <w:p w14:paraId="631B4F4E">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360" w:type="dxa"/>
            <w:vMerge w:val="continue"/>
            <w:tcBorders>
              <w:top w:val="single" w:color="auto" w:sz="2" w:space="0"/>
              <w:left w:val="nil"/>
              <w:bottom w:val="single" w:color="auto" w:sz="4" w:space="0"/>
              <w:right w:val="single" w:color="auto" w:sz="4" w:space="0"/>
            </w:tcBorders>
          </w:tcPr>
          <w:p w14:paraId="78D072A7">
            <w:pPr>
              <w:spacing w:line="580" w:lineRule="exact"/>
              <w:rPr>
                <w:rFonts w:asciiTheme="minorEastAsia" w:hAnsiTheme="minorEastAsia" w:cstheme="minorEastAsia"/>
                <w:sz w:val="18"/>
                <w:szCs w:val="18"/>
              </w:rPr>
            </w:pPr>
          </w:p>
        </w:tc>
        <w:tc>
          <w:tcPr>
            <w:tcW w:w="1260" w:type="dxa"/>
            <w:vMerge w:val="continue"/>
            <w:tcBorders>
              <w:top w:val="single" w:color="auto" w:sz="2" w:space="0"/>
              <w:left w:val="nil"/>
              <w:bottom w:val="single" w:color="auto" w:sz="4" w:space="0"/>
              <w:right w:val="single" w:color="auto" w:sz="4" w:space="0"/>
            </w:tcBorders>
          </w:tcPr>
          <w:p w14:paraId="5CE8806A">
            <w:pPr>
              <w:spacing w:line="580" w:lineRule="exact"/>
              <w:rPr>
                <w:rFonts w:asciiTheme="minorEastAsia" w:hAnsiTheme="minorEastAsia" w:cstheme="minorEastAsia"/>
                <w:sz w:val="18"/>
                <w:szCs w:val="18"/>
              </w:rPr>
            </w:pPr>
          </w:p>
        </w:tc>
      </w:tr>
      <w:tr w14:paraId="5021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155" w:type="dxa"/>
            <w:vMerge w:val="continue"/>
            <w:tcBorders>
              <w:top w:val="nil"/>
              <w:left w:val="single" w:color="auto" w:sz="12" w:space="0"/>
              <w:bottom w:val="single" w:color="auto" w:sz="4" w:space="0"/>
              <w:right w:val="single" w:color="auto" w:sz="4" w:space="0"/>
            </w:tcBorders>
            <w:vAlign w:val="center"/>
          </w:tcPr>
          <w:p w14:paraId="1865D626">
            <w:pPr>
              <w:spacing w:line="580" w:lineRule="exact"/>
              <w:rPr>
                <w:rFonts w:asciiTheme="minorEastAsia" w:hAnsiTheme="minorEastAsia" w:cstheme="minorEastAsia"/>
                <w:sz w:val="18"/>
                <w:szCs w:val="18"/>
              </w:rPr>
            </w:pPr>
          </w:p>
        </w:tc>
        <w:tc>
          <w:tcPr>
            <w:tcW w:w="1365" w:type="dxa"/>
            <w:tcBorders>
              <w:top w:val="single" w:color="auto" w:sz="4" w:space="0"/>
              <w:left w:val="nil"/>
              <w:bottom w:val="single" w:color="auto" w:sz="4" w:space="0"/>
              <w:right w:val="single" w:color="auto" w:sz="4" w:space="0"/>
            </w:tcBorders>
          </w:tcPr>
          <w:p w14:paraId="1589B2A7">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第二节</w:t>
            </w:r>
          </w:p>
        </w:tc>
        <w:tc>
          <w:tcPr>
            <w:tcW w:w="3780" w:type="dxa"/>
            <w:tcBorders>
              <w:top w:val="single" w:color="auto" w:sz="4" w:space="0"/>
              <w:left w:val="nil"/>
              <w:bottom w:val="single" w:color="auto" w:sz="4" w:space="0"/>
              <w:right w:val="single" w:color="auto" w:sz="4" w:space="0"/>
            </w:tcBorders>
          </w:tcPr>
          <w:p w14:paraId="37333B33">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信用工具（金融工具）</w:t>
            </w:r>
          </w:p>
        </w:tc>
        <w:tc>
          <w:tcPr>
            <w:tcW w:w="1080" w:type="dxa"/>
            <w:vMerge w:val="continue"/>
            <w:tcBorders>
              <w:top w:val="single" w:color="auto" w:sz="2" w:space="0"/>
              <w:left w:val="nil"/>
              <w:bottom w:val="single" w:color="auto" w:sz="4" w:space="0"/>
              <w:right w:val="single" w:color="auto" w:sz="4" w:space="0"/>
            </w:tcBorders>
          </w:tcPr>
          <w:p w14:paraId="702DEC79">
            <w:pPr>
              <w:spacing w:line="580" w:lineRule="exact"/>
              <w:rPr>
                <w:rFonts w:asciiTheme="minorEastAsia" w:hAnsiTheme="minorEastAsia" w:cstheme="minorEastAsia"/>
                <w:sz w:val="18"/>
                <w:szCs w:val="18"/>
              </w:rPr>
            </w:pPr>
          </w:p>
        </w:tc>
        <w:tc>
          <w:tcPr>
            <w:tcW w:w="596" w:type="dxa"/>
            <w:tcBorders>
              <w:top w:val="single" w:color="auto" w:sz="2" w:space="0"/>
              <w:left w:val="nil"/>
              <w:bottom w:val="single" w:color="auto" w:sz="4" w:space="0"/>
              <w:right w:val="single" w:color="auto" w:sz="4" w:space="0"/>
            </w:tcBorders>
          </w:tcPr>
          <w:p w14:paraId="72308703">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360" w:type="dxa"/>
            <w:vMerge w:val="continue"/>
            <w:tcBorders>
              <w:top w:val="single" w:color="auto" w:sz="2" w:space="0"/>
              <w:left w:val="nil"/>
              <w:bottom w:val="single" w:color="auto" w:sz="4" w:space="0"/>
              <w:right w:val="single" w:color="auto" w:sz="4" w:space="0"/>
            </w:tcBorders>
          </w:tcPr>
          <w:p w14:paraId="2DD7D70D">
            <w:pPr>
              <w:spacing w:line="580" w:lineRule="exact"/>
              <w:rPr>
                <w:rFonts w:asciiTheme="minorEastAsia" w:hAnsiTheme="minorEastAsia" w:cstheme="minorEastAsia"/>
                <w:sz w:val="18"/>
                <w:szCs w:val="18"/>
              </w:rPr>
            </w:pPr>
          </w:p>
        </w:tc>
        <w:tc>
          <w:tcPr>
            <w:tcW w:w="1260" w:type="dxa"/>
            <w:vMerge w:val="continue"/>
            <w:tcBorders>
              <w:top w:val="single" w:color="auto" w:sz="2" w:space="0"/>
              <w:left w:val="nil"/>
              <w:bottom w:val="single" w:color="auto" w:sz="4" w:space="0"/>
              <w:right w:val="single" w:color="auto" w:sz="4" w:space="0"/>
            </w:tcBorders>
          </w:tcPr>
          <w:p w14:paraId="0FCE9B89">
            <w:pPr>
              <w:spacing w:line="580" w:lineRule="exact"/>
              <w:rPr>
                <w:rFonts w:asciiTheme="minorEastAsia" w:hAnsiTheme="minorEastAsia" w:cstheme="minorEastAsia"/>
                <w:sz w:val="18"/>
                <w:szCs w:val="18"/>
              </w:rPr>
            </w:pPr>
          </w:p>
        </w:tc>
      </w:tr>
      <w:tr w14:paraId="23B1C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155" w:type="dxa"/>
            <w:vMerge w:val="continue"/>
            <w:tcBorders>
              <w:top w:val="nil"/>
              <w:left w:val="single" w:color="auto" w:sz="12" w:space="0"/>
              <w:bottom w:val="single" w:color="auto" w:sz="4" w:space="0"/>
              <w:right w:val="single" w:color="auto" w:sz="4" w:space="0"/>
            </w:tcBorders>
            <w:vAlign w:val="center"/>
          </w:tcPr>
          <w:p w14:paraId="5F29F1F1">
            <w:pPr>
              <w:spacing w:line="580" w:lineRule="exact"/>
              <w:rPr>
                <w:rFonts w:asciiTheme="minorEastAsia" w:hAnsiTheme="minorEastAsia" w:cstheme="minorEastAsia"/>
                <w:sz w:val="18"/>
                <w:szCs w:val="18"/>
              </w:rPr>
            </w:pPr>
          </w:p>
        </w:tc>
        <w:tc>
          <w:tcPr>
            <w:tcW w:w="1365" w:type="dxa"/>
            <w:tcBorders>
              <w:top w:val="single" w:color="auto" w:sz="4" w:space="0"/>
              <w:left w:val="nil"/>
              <w:bottom w:val="single" w:color="auto" w:sz="4" w:space="0"/>
              <w:right w:val="single" w:color="auto" w:sz="4" w:space="0"/>
            </w:tcBorders>
          </w:tcPr>
          <w:p w14:paraId="19E31A9B">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第三节</w:t>
            </w:r>
          </w:p>
        </w:tc>
        <w:tc>
          <w:tcPr>
            <w:tcW w:w="3780" w:type="dxa"/>
            <w:tcBorders>
              <w:top w:val="single" w:color="auto" w:sz="4" w:space="0"/>
              <w:left w:val="nil"/>
              <w:bottom w:val="single" w:color="auto" w:sz="4" w:space="0"/>
              <w:right w:val="single" w:color="auto" w:sz="4" w:space="0"/>
            </w:tcBorders>
          </w:tcPr>
          <w:p w14:paraId="56B9D514">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利息与利率</w:t>
            </w:r>
          </w:p>
        </w:tc>
        <w:tc>
          <w:tcPr>
            <w:tcW w:w="1080" w:type="dxa"/>
            <w:vMerge w:val="continue"/>
            <w:tcBorders>
              <w:top w:val="single" w:color="auto" w:sz="2" w:space="0"/>
              <w:left w:val="nil"/>
              <w:bottom w:val="single" w:color="auto" w:sz="4" w:space="0"/>
              <w:right w:val="single" w:color="auto" w:sz="4" w:space="0"/>
            </w:tcBorders>
          </w:tcPr>
          <w:p w14:paraId="11CB4BFA">
            <w:pPr>
              <w:spacing w:line="580" w:lineRule="exact"/>
              <w:rPr>
                <w:rFonts w:asciiTheme="minorEastAsia" w:hAnsiTheme="minorEastAsia" w:cstheme="minorEastAsia"/>
                <w:sz w:val="18"/>
                <w:szCs w:val="18"/>
              </w:rPr>
            </w:pPr>
          </w:p>
        </w:tc>
        <w:tc>
          <w:tcPr>
            <w:tcW w:w="596" w:type="dxa"/>
            <w:tcBorders>
              <w:top w:val="single" w:color="auto" w:sz="4" w:space="0"/>
              <w:left w:val="nil"/>
              <w:bottom w:val="single" w:color="auto" w:sz="2" w:space="0"/>
              <w:right w:val="single" w:color="auto" w:sz="4" w:space="0"/>
            </w:tcBorders>
          </w:tcPr>
          <w:p w14:paraId="0A49D1EC">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360" w:type="dxa"/>
            <w:vMerge w:val="continue"/>
            <w:tcBorders>
              <w:top w:val="single" w:color="auto" w:sz="2" w:space="0"/>
              <w:left w:val="nil"/>
              <w:bottom w:val="single" w:color="auto" w:sz="4" w:space="0"/>
              <w:right w:val="single" w:color="auto" w:sz="4" w:space="0"/>
            </w:tcBorders>
          </w:tcPr>
          <w:p w14:paraId="2AA9B8BD">
            <w:pPr>
              <w:spacing w:line="580" w:lineRule="exact"/>
              <w:rPr>
                <w:rFonts w:asciiTheme="minorEastAsia" w:hAnsiTheme="minorEastAsia" w:cstheme="minorEastAsia"/>
                <w:sz w:val="18"/>
                <w:szCs w:val="18"/>
              </w:rPr>
            </w:pPr>
          </w:p>
        </w:tc>
        <w:tc>
          <w:tcPr>
            <w:tcW w:w="1260" w:type="dxa"/>
            <w:vMerge w:val="continue"/>
            <w:tcBorders>
              <w:top w:val="single" w:color="auto" w:sz="2" w:space="0"/>
              <w:left w:val="nil"/>
              <w:bottom w:val="single" w:color="auto" w:sz="4" w:space="0"/>
              <w:right w:val="single" w:color="auto" w:sz="4" w:space="0"/>
            </w:tcBorders>
          </w:tcPr>
          <w:p w14:paraId="7B285763">
            <w:pPr>
              <w:spacing w:line="580" w:lineRule="exact"/>
              <w:rPr>
                <w:rFonts w:asciiTheme="minorEastAsia" w:hAnsiTheme="minorEastAsia" w:cstheme="minorEastAsia"/>
                <w:sz w:val="18"/>
                <w:szCs w:val="18"/>
              </w:rPr>
            </w:pPr>
          </w:p>
        </w:tc>
      </w:tr>
      <w:tr w14:paraId="1B46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155" w:type="dxa"/>
            <w:vMerge w:val="restart"/>
            <w:tcBorders>
              <w:top w:val="nil"/>
              <w:left w:val="single" w:color="auto" w:sz="12" w:space="0"/>
              <w:bottom w:val="single" w:color="auto" w:sz="4" w:space="0"/>
              <w:right w:val="single" w:color="auto" w:sz="4" w:space="0"/>
            </w:tcBorders>
            <w:vAlign w:val="center"/>
          </w:tcPr>
          <w:p w14:paraId="2C41E87B">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6</w:t>
            </w:r>
          </w:p>
          <w:p w14:paraId="6F81ED9B">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7</w:t>
            </w:r>
          </w:p>
          <w:p w14:paraId="12A496D7">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8</w:t>
            </w:r>
          </w:p>
          <w:p w14:paraId="33E9EAEB">
            <w:pPr>
              <w:spacing w:line="580" w:lineRule="exact"/>
              <w:jc w:val="center"/>
              <w:rPr>
                <w:rFonts w:asciiTheme="minorEastAsia" w:hAnsiTheme="minorEastAsia" w:cstheme="minorEastAsia"/>
                <w:sz w:val="18"/>
                <w:szCs w:val="18"/>
              </w:rPr>
            </w:pPr>
          </w:p>
        </w:tc>
        <w:tc>
          <w:tcPr>
            <w:tcW w:w="1365" w:type="dxa"/>
            <w:tcBorders>
              <w:top w:val="single" w:color="auto" w:sz="4" w:space="0"/>
              <w:left w:val="nil"/>
              <w:bottom w:val="single" w:color="auto" w:sz="4" w:space="0"/>
              <w:right w:val="single" w:color="auto" w:sz="4" w:space="0"/>
            </w:tcBorders>
          </w:tcPr>
          <w:p w14:paraId="53D47E20">
            <w:pPr>
              <w:spacing w:line="580" w:lineRule="exact"/>
              <w:ind w:firstLine="180" w:firstLineChars="100"/>
              <w:rPr>
                <w:rFonts w:asciiTheme="minorEastAsia" w:hAnsiTheme="minorEastAsia" w:cstheme="minorEastAsia"/>
                <w:sz w:val="18"/>
                <w:szCs w:val="18"/>
              </w:rPr>
            </w:pPr>
            <w:r>
              <w:rPr>
                <w:rFonts w:hint="eastAsia" w:asciiTheme="minorEastAsia" w:hAnsiTheme="minorEastAsia" w:cstheme="minorEastAsia"/>
                <w:sz w:val="18"/>
                <w:szCs w:val="18"/>
              </w:rPr>
              <w:t>第四章</w:t>
            </w:r>
          </w:p>
        </w:tc>
        <w:tc>
          <w:tcPr>
            <w:tcW w:w="3780" w:type="dxa"/>
            <w:tcBorders>
              <w:top w:val="single" w:color="auto" w:sz="4" w:space="0"/>
              <w:left w:val="nil"/>
              <w:bottom w:val="single" w:color="auto" w:sz="4" w:space="0"/>
              <w:right w:val="single" w:color="auto" w:sz="4" w:space="0"/>
            </w:tcBorders>
          </w:tcPr>
          <w:p w14:paraId="5196D6DE">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金融机构体系</w:t>
            </w:r>
          </w:p>
        </w:tc>
        <w:tc>
          <w:tcPr>
            <w:tcW w:w="1080" w:type="dxa"/>
            <w:vMerge w:val="restart"/>
            <w:tcBorders>
              <w:top w:val="nil"/>
              <w:left w:val="nil"/>
              <w:bottom w:val="single" w:color="auto" w:sz="4" w:space="0"/>
              <w:right w:val="single" w:color="auto" w:sz="4" w:space="0"/>
            </w:tcBorders>
          </w:tcPr>
          <w:p w14:paraId="5811F0AC">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理论讲授案例讨论</w:t>
            </w:r>
          </w:p>
          <w:p w14:paraId="4F32AE1B">
            <w:pPr>
              <w:spacing w:line="580" w:lineRule="exact"/>
              <w:rPr>
                <w:rFonts w:asciiTheme="minorEastAsia" w:hAnsiTheme="minorEastAsia" w:cstheme="minorEastAsia"/>
                <w:sz w:val="18"/>
                <w:szCs w:val="18"/>
              </w:rPr>
            </w:pPr>
          </w:p>
          <w:p w14:paraId="71A40665">
            <w:pPr>
              <w:spacing w:line="580" w:lineRule="exact"/>
              <w:rPr>
                <w:rFonts w:asciiTheme="minorEastAsia" w:hAnsiTheme="minorEastAsia" w:cstheme="minorEastAsia"/>
                <w:sz w:val="18"/>
                <w:szCs w:val="18"/>
              </w:rPr>
            </w:pPr>
          </w:p>
          <w:p w14:paraId="1101AB3A">
            <w:pPr>
              <w:spacing w:line="580" w:lineRule="exact"/>
              <w:rPr>
                <w:rFonts w:asciiTheme="minorEastAsia" w:hAnsiTheme="minorEastAsia" w:cstheme="minorEastAsia"/>
                <w:sz w:val="18"/>
                <w:szCs w:val="18"/>
              </w:rPr>
            </w:pPr>
          </w:p>
        </w:tc>
        <w:tc>
          <w:tcPr>
            <w:tcW w:w="596" w:type="dxa"/>
            <w:tcBorders>
              <w:top w:val="single" w:color="auto" w:sz="2" w:space="0"/>
              <w:left w:val="nil"/>
              <w:bottom w:val="single" w:color="auto" w:sz="4" w:space="0"/>
              <w:right w:val="single" w:color="auto" w:sz="4" w:space="0"/>
            </w:tcBorders>
          </w:tcPr>
          <w:p w14:paraId="1BCA9FCA">
            <w:pPr>
              <w:spacing w:line="580" w:lineRule="exact"/>
              <w:ind w:firstLine="90" w:firstLineChars="50"/>
              <w:rPr>
                <w:rFonts w:asciiTheme="minorEastAsia" w:hAnsiTheme="minorEastAsia" w:cstheme="minorEastAsia"/>
                <w:sz w:val="18"/>
                <w:szCs w:val="18"/>
              </w:rPr>
            </w:pPr>
            <w:r>
              <w:rPr>
                <w:rFonts w:hint="eastAsia" w:asciiTheme="minorEastAsia" w:hAnsiTheme="minorEastAsia" w:cstheme="minorEastAsia"/>
                <w:sz w:val="18"/>
                <w:szCs w:val="18"/>
              </w:rPr>
              <w:t>4</w:t>
            </w:r>
          </w:p>
        </w:tc>
        <w:tc>
          <w:tcPr>
            <w:tcW w:w="360" w:type="dxa"/>
            <w:vMerge w:val="restart"/>
            <w:tcBorders>
              <w:top w:val="nil"/>
              <w:left w:val="nil"/>
              <w:bottom w:val="single" w:color="auto" w:sz="4" w:space="0"/>
              <w:right w:val="single" w:color="auto" w:sz="4" w:space="0"/>
            </w:tcBorders>
          </w:tcPr>
          <w:p w14:paraId="0B789B55">
            <w:pPr>
              <w:spacing w:line="580" w:lineRule="exact"/>
              <w:jc w:val="center"/>
              <w:rPr>
                <w:rFonts w:asciiTheme="minorEastAsia" w:hAnsiTheme="minorEastAsia" w:cstheme="minorEastAsia"/>
                <w:sz w:val="18"/>
                <w:szCs w:val="18"/>
              </w:rPr>
            </w:pPr>
          </w:p>
          <w:p w14:paraId="0D585CF4">
            <w:pPr>
              <w:spacing w:line="580" w:lineRule="exact"/>
              <w:jc w:val="center"/>
              <w:rPr>
                <w:rFonts w:asciiTheme="minorEastAsia" w:hAnsiTheme="minorEastAsia" w:cstheme="minorEastAsia"/>
                <w:sz w:val="18"/>
                <w:szCs w:val="18"/>
              </w:rPr>
            </w:pPr>
          </w:p>
          <w:p w14:paraId="69E0CE92">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 xml:space="preserve">4 </w:t>
            </w:r>
          </w:p>
        </w:tc>
        <w:tc>
          <w:tcPr>
            <w:tcW w:w="1260" w:type="dxa"/>
            <w:vMerge w:val="restart"/>
            <w:tcBorders>
              <w:top w:val="nil"/>
              <w:left w:val="nil"/>
              <w:bottom w:val="single" w:color="auto" w:sz="4" w:space="0"/>
              <w:right w:val="single" w:color="auto" w:sz="4" w:space="0"/>
            </w:tcBorders>
          </w:tcPr>
          <w:p w14:paraId="29FBB901">
            <w:pPr>
              <w:spacing w:line="58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章节课后习题</w:t>
            </w:r>
          </w:p>
          <w:p w14:paraId="3D167841">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 </w:t>
            </w:r>
          </w:p>
        </w:tc>
      </w:tr>
      <w:tr w14:paraId="1F9C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155" w:type="dxa"/>
            <w:vMerge w:val="continue"/>
            <w:tcBorders>
              <w:top w:val="nil"/>
              <w:left w:val="single" w:color="auto" w:sz="12" w:space="0"/>
              <w:bottom w:val="single" w:color="auto" w:sz="4" w:space="0"/>
              <w:right w:val="single" w:color="auto" w:sz="4" w:space="0"/>
            </w:tcBorders>
            <w:vAlign w:val="center"/>
          </w:tcPr>
          <w:p w14:paraId="4A206E13">
            <w:pPr>
              <w:spacing w:line="580" w:lineRule="exact"/>
              <w:rPr>
                <w:rFonts w:asciiTheme="minorEastAsia" w:hAnsiTheme="minorEastAsia" w:cstheme="minorEastAsia"/>
                <w:sz w:val="18"/>
                <w:szCs w:val="18"/>
              </w:rPr>
            </w:pPr>
          </w:p>
        </w:tc>
        <w:tc>
          <w:tcPr>
            <w:tcW w:w="1365" w:type="dxa"/>
            <w:tcBorders>
              <w:top w:val="single" w:color="auto" w:sz="4" w:space="0"/>
              <w:left w:val="nil"/>
              <w:bottom w:val="single" w:color="auto" w:sz="4" w:space="0"/>
              <w:right w:val="single" w:color="auto" w:sz="4" w:space="0"/>
            </w:tcBorders>
          </w:tcPr>
          <w:p w14:paraId="4E54605E">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第一节</w:t>
            </w:r>
          </w:p>
        </w:tc>
        <w:tc>
          <w:tcPr>
            <w:tcW w:w="3780" w:type="dxa"/>
            <w:tcBorders>
              <w:top w:val="single" w:color="auto" w:sz="4" w:space="0"/>
              <w:left w:val="nil"/>
              <w:bottom w:val="single" w:color="auto" w:sz="4" w:space="0"/>
              <w:right w:val="single" w:color="auto" w:sz="4" w:space="0"/>
            </w:tcBorders>
          </w:tcPr>
          <w:p w14:paraId="1EF9E559">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金融机构体系概述</w:t>
            </w:r>
          </w:p>
        </w:tc>
        <w:tc>
          <w:tcPr>
            <w:tcW w:w="1080" w:type="dxa"/>
            <w:vMerge w:val="continue"/>
            <w:tcBorders>
              <w:top w:val="nil"/>
              <w:left w:val="nil"/>
              <w:bottom w:val="single" w:color="auto" w:sz="4" w:space="0"/>
              <w:right w:val="single" w:color="auto" w:sz="4" w:space="0"/>
            </w:tcBorders>
          </w:tcPr>
          <w:p w14:paraId="4359EB64">
            <w:pPr>
              <w:spacing w:line="580" w:lineRule="exact"/>
              <w:rPr>
                <w:rFonts w:asciiTheme="minorEastAsia" w:hAnsiTheme="minorEastAsia" w:cstheme="minorEastAsia"/>
                <w:sz w:val="18"/>
                <w:szCs w:val="18"/>
              </w:rPr>
            </w:pPr>
          </w:p>
        </w:tc>
        <w:tc>
          <w:tcPr>
            <w:tcW w:w="596" w:type="dxa"/>
            <w:vMerge w:val="restart"/>
            <w:tcBorders>
              <w:top w:val="nil"/>
              <w:left w:val="nil"/>
              <w:bottom w:val="single" w:color="auto" w:sz="4" w:space="0"/>
              <w:right w:val="single" w:color="auto" w:sz="4" w:space="0"/>
            </w:tcBorders>
          </w:tcPr>
          <w:p w14:paraId="71B1371F">
            <w:pPr>
              <w:spacing w:line="580" w:lineRule="exact"/>
              <w:jc w:val="center"/>
              <w:rPr>
                <w:rFonts w:asciiTheme="minorEastAsia" w:hAnsiTheme="minorEastAsia" w:cstheme="minorEastAsia"/>
                <w:sz w:val="18"/>
                <w:szCs w:val="18"/>
              </w:rPr>
            </w:pPr>
          </w:p>
          <w:p w14:paraId="3D4D6FEE">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360" w:type="dxa"/>
            <w:vMerge w:val="continue"/>
            <w:tcBorders>
              <w:top w:val="nil"/>
              <w:left w:val="nil"/>
              <w:bottom w:val="single" w:color="auto" w:sz="4" w:space="0"/>
              <w:right w:val="single" w:color="auto" w:sz="4" w:space="0"/>
            </w:tcBorders>
          </w:tcPr>
          <w:p w14:paraId="299B9DFA">
            <w:pPr>
              <w:spacing w:line="580" w:lineRule="exact"/>
              <w:rPr>
                <w:rFonts w:asciiTheme="minorEastAsia" w:hAnsiTheme="minorEastAsia" w:cstheme="minorEastAsia"/>
                <w:sz w:val="18"/>
                <w:szCs w:val="18"/>
              </w:rPr>
            </w:pPr>
          </w:p>
        </w:tc>
        <w:tc>
          <w:tcPr>
            <w:tcW w:w="1260" w:type="dxa"/>
            <w:vMerge w:val="continue"/>
            <w:tcBorders>
              <w:top w:val="nil"/>
              <w:left w:val="nil"/>
              <w:bottom w:val="single" w:color="auto" w:sz="4" w:space="0"/>
              <w:right w:val="single" w:color="auto" w:sz="4" w:space="0"/>
            </w:tcBorders>
          </w:tcPr>
          <w:p w14:paraId="30F5F360">
            <w:pPr>
              <w:spacing w:line="580" w:lineRule="exact"/>
              <w:rPr>
                <w:rFonts w:asciiTheme="minorEastAsia" w:hAnsiTheme="minorEastAsia" w:cstheme="minorEastAsia"/>
                <w:sz w:val="18"/>
                <w:szCs w:val="18"/>
              </w:rPr>
            </w:pPr>
          </w:p>
        </w:tc>
      </w:tr>
      <w:tr w14:paraId="6C51A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155" w:type="dxa"/>
            <w:vMerge w:val="continue"/>
            <w:tcBorders>
              <w:top w:val="nil"/>
              <w:left w:val="single" w:color="auto" w:sz="12" w:space="0"/>
              <w:bottom w:val="single" w:color="auto" w:sz="4" w:space="0"/>
              <w:right w:val="single" w:color="auto" w:sz="4" w:space="0"/>
            </w:tcBorders>
            <w:vAlign w:val="center"/>
          </w:tcPr>
          <w:p w14:paraId="17995F27">
            <w:pPr>
              <w:spacing w:line="580" w:lineRule="exact"/>
              <w:rPr>
                <w:rFonts w:asciiTheme="minorEastAsia" w:hAnsiTheme="minorEastAsia" w:cstheme="minorEastAsia"/>
                <w:sz w:val="18"/>
                <w:szCs w:val="18"/>
              </w:rPr>
            </w:pPr>
          </w:p>
        </w:tc>
        <w:tc>
          <w:tcPr>
            <w:tcW w:w="1365" w:type="dxa"/>
            <w:tcBorders>
              <w:top w:val="single" w:color="auto" w:sz="4" w:space="0"/>
              <w:left w:val="nil"/>
              <w:bottom w:val="single" w:color="auto" w:sz="4" w:space="0"/>
              <w:right w:val="single" w:color="auto" w:sz="4" w:space="0"/>
            </w:tcBorders>
          </w:tcPr>
          <w:p w14:paraId="28BB4995">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第二节</w:t>
            </w:r>
          </w:p>
        </w:tc>
        <w:tc>
          <w:tcPr>
            <w:tcW w:w="3780" w:type="dxa"/>
            <w:tcBorders>
              <w:top w:val="single" w:color="auto" w:sz="4" w:space="0"/>
              <w:left w:val="nil"/>
              <w:bottom w:val="single" w:color="auto" w:sz="4" w:space="0"/>
              <w:right w:val="single" w:color="auto" w:sz="4" w:space="0"/>
            </w:tcBorders>
          </w:tcPr>
          <w:p w14:paraId="709A50C2">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我国的金融机构体系</w:t>
            </w:r>
          </w:p>
        </w:tc>
        <w:tc>
          <w:tcPr>
            <w:tcW w:w="1080" w:type="dxa"/>
            <w:vMerge w:val="continue"/>
            <w:tcBorders>
              <w:top w:val="nil"/>
              <w:left w:val="nil"/>
              <w:bottom w:val="single" w:color="auto" w:sz="4" w:space="0"/>
              <w:right w:val="single" w:color="auto" w:sz="4" w:space="0"/>
            </w:tcBorders>
          </w:tcPr>
          <w:p w14:paraId="5B017A9A">
            <w:pPr>
              <w:spacing w:line="580" w:lineRule="exact"/>
              <w:rPr>
                <w:rFonts w:asciiTheme="minorEastAsia" w:hAnsiTheme="minorEastAsia" w:cstheme="minorEastAsia"/>
                <w:sz w:val="18"/>
                <w:szCs w:val="18"/>
              </w:rPr>
            </w:pPr>
          </w:p>
        </w:tc>
        <w:tc>
          <w:tcPr>
            <w:tcW w:w="596" w:type="dxa"/>
            <w:vMerge w:val="continue"/>
            <w:tcBorders>
              <w:top w:val="nil"/>
              <w:left w:val="nil"/>
              <w:bottom w:val="single" w:color="auto" w:sz="4" w:space="0"/>
              <w:right w:val="single" w:color="auto" w:sz="4" w:space="0"/>
            </w:tcBorders>
          </w:tcPr>
          <w:p w14:paraId="23299303">
            <w:pPr>
              <w:spacing w:line="580" w:lineRule="exact"/>
              <w:rPr>
                <w:rFonts w:asciiTheme="minorEastAsia" w:hAnsiTheme="minorEastAsia" w:cstheme="minorEastAsia"/>
                <w:sz w:val="18"/>
                <w:szCs w:val="18"/>
              </w:rPr>
            </w:pPr>
          </w:p>
        </w:tc>
        <w:tc>
          <w:tcPr>
            <w:tcW w:w="360" w:type="dxa"/>
            <w:vMerge w:val="continue"/>
            <w:tcBorders>
              <w:top w:val="nil"/>
              <w:left w:val="nil"/>
              <w:bottom w:val="single" w:color="auto" w:sz="4" w:space="0"/>
              <w:right w:val="single" w:color="auto" w:sz="4" w:space="0"/>
            </w:tcBorders>
          </w:tcPr>
          <w:p w14:paraId="288AA32E">
            <w:pPr>
              <w:spacing w:line="580" w:lineRule="exact"/>
              <w:rPr>
                <w:rFonts w:asciiTheme="minorEastAsia" w:hAnsiTheme="minorEastAsia" w:cstheme="minorEastAsia"/>
                <w:sz w:val="18"/>
                <w:szCs w:val="18"/>
              </w:rPr>
            </w:pPr>
          </w:p>
        </w:tc>
        <w:tc>
          <w:tcPr>
            <w:tcW w:w="1260" w:type="dxa"/>
            <w:vMerge w:val="continue"/>
            <w:tcBorders>
              <w:top w:val="nil"/>
              <w:left w:val="nil"/>
              <w:bottom w:val="single" w:color="auto" w:sz="4" w:space="0"/>
              <w:right w:val="single" w:color="auto" w:sz="4" w:space="0"/>
            </w:tcBorders>
          </w:tcPr>
          <w:p w14:paraId="3616450B">
            <w:pPr>
              <w:spacing w:line="580" w:lineRule="exact"/>
              <w:rPr>
                <w:rFonts w:asciiTheme="minorEastAsia" w:hAnsiTheme="minorEastAsia" w:cstheme="minorEastAsia"/>
                <w:sz w:val="18"/>
                <w:szCs w:val="18"/>
              </w:rPr>
            </w:pPr>
          </w:p>
        </w:tc>
      </w:tr>
      <w:tr w14:paraId="2CE17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155" w:type="dxa"/>
            <w:vMerge w:val="continue"/>
            <w:tcBorders>
              <w:top w:val="nil"/>
              <w:left w:val="single" w:color="auto" w:sz="12" w:space="0"/>
              <w:bottom w:val="single" w:color="auto" w:sz="4" w:space="0"/>
              <w:right w:val="single" w:color="auto" w:sz="4" w:space="0"/>
            </w:tcBorders>
            <w:vAlign w:val="center"/>
          </w:tcPr>
          <w:p w14:paraId="7D995C40">
            <w:pPr>
              <w:spacing w:line="580" w:lineRule="exact"/>
              <w:rPr>
                <w:rFonts w:asciiTheme="minorEastAsia" w:hAnsiTheme="minorEastAsia" w:cstheme="minorEastAsia"/>
                <w:sz w:val="18"/>
                <w:szCs w:val="18"/>
              </w:rPr>
            </w:pPr>
          </w:p>
        </w:tc>
        <w:tc>
          <w:tcPr>
            <w:tcW w:w="1365" w:type="dxa"/>
            <w:tcBorders>
              <w:top w:val="single" w:color="auto" w:sz="4" w:space="0"/>
              <w:left w:val="nil"/>
              <w:bottom w:val="single" w:color="auto" w:sz="4" w:space="0"/>
              <w:right w:val="single" w:color="auto" w:sz="4" w:space="0"/>
            </w:tcBorders>
          </w:tcPr>
          <w:p w14:paraId="1CC58720">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第三节</w:t>
            </w:r>
          </w:p>
        </w:tc>
        <w:tc>
          <w:tcPr>
            <w:tcW w:w="3780" w:type="dxa"/>
            <w:tcBorders>
              <w:top w:val="single" w:color="auto" w:sz="4" w:space="0"/>
              <w:left w:val="nil"/>
              <w:bottom w:val="single" w:color="auto" w:sz="4" w:space="0"/>
              <w:right w:val="single" w:color="auto" w:sz="4" w:space="0"/>
            </w:tcBorders>
          </w:tcPr>
          <w:p w14:paraId="119475F0">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中央银行</w:t>
            </w:r>
          </w:p>
        </w:tc>
        <w:tc>
          <w:tcPr>
            <w:tcW w:w="1080" w:type="dxa"/>
            <w:vMerge w:val="continue"/>
            <w:tcBorders>
              <w:top w:val="nil"/>
              <w:left w:val="nil"/>
              <w:bottom w:val="single" w:color="auto" w:sz="4" w:space="0"/>
              <w:right w:val="single" w:color="auto" w:sz="4" w:space="0"/>
            </w:tcBorders>
          </w:tcPr>
          <w:p w14:paraId="341751D2">
            <w:pPr>
              <w:spacing w:line="580" w:lineRule="exact"/>
              <w:rPr>
                <w:rFonts w:asciiTheme="minorEastAsia" w:hAnsiTheme="minorEastAsia" w:cstheme="minorEastAsia"/>
                <w:sz w:val="18"/>
                <w:szCs w:val="18"/>
              </w:rPr>
            </w:pPr>
          </w:p>
        </w:tc>
        <w:tc>
          <w:tcPr>
            <w:tcW w:w="596" w:type="dxa"/>
            <w:vMerge w:val="restart"/>
            <w:tcBorders>
              <w:top w:val="nil"/>
              <w:left w:val="nil"/>
              <w:bottom w:val="single" w:color="auto" w:sz="4" w:space="0"/>
              <w:right w:val="single" w:color="auto" w:sz="4" w:space="0"/>
            </w:tcBorders>
          </w:tcPr>
          <w:p w14:paraId="1EFF1497">
            <w:pPr>
              <w:spacing w:line="580" w:lineRule="exact"/>
              <w:rPr>
                <w:rFonts w:asciiTheme="minorEastAsia" w:hAnsiTheme="minorEastAsia" w:cstheme="minorEastAsia"/>
                <w:sz w:val="18"/>
                <w:szCs w:val="18"/>
              </w:rPr>
            </w:pPr>
          </w:p>
          <w:p w14:paraId="638702A9">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360" w:type="dxa"/>
            <w:vMerge w:val="continue"/>
            <w:tcBorders>
              <w:top w:val="nil"/>
              <w:left w:val="nil"/>
              <w:bottom w:val="single" w:color="auto" w:sz="4" w:space="0"/>
              <w:right w:val="single" w:color="auto" w:sz="4" w:space="0"/>
            </w:tcBorders>
          </w:tcPr>
          <w:p w14:paraId="5BAC5A37">
            <w:pPr>
              <w:spacing w:line="580" w:lineRule="exact"/>
              <w:rPr>
                <w:rFonts w:asciiTheme="minorEastAsia" w:hAnsiTheme="minorEastAsia" w:cstheme="minorEastAsia"/>
                <w:sz w:val="18"/>
                <w:szCs w:val="18"/>
              </w:rPr>
            </w:pPr>
          </w:p>
        </w:tc>
        <w:tc>
          <w:tcPr>
            <w:tcW w:w="1260" w:type="dxa"/>
            <w:vMerge w:val="continue"/>
            <w:tcBorders>
              <w:top w:val="nil"/>
              <w:left w:val="nil"/>
              <w:bottom w:val="single" w:color="auto" w:sz="4" w:space="0"/>
              <w:right w:val="single" w:color="auto" w:sz="4" w:space="0"/>
            </w:tcBorders>
          </w:tcPr>
          <w:p w14:paraId="3CABD52B">
            <w:pPr>
              <w:spacing w:line="580" w:lineRule="exact"/>
              <w:rPr>
                <w:rFonts w:asciiTheme="minorEastAsia" w:hAnsiTheme="minorEastAsia" w:cstheme="minorEastAsia"/>
                <w:sz w:val="18"/>
                <w:szCs w:val="18"/>
              </w:rPr>
            </w:pPr>
          </w:p>
        </w:tc>
      </w:tr>
      <w:tr w14:paraId="41D5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1155" w:type="dxa"/>
            <w:vMerge w:val="continue"/>
            <w:tcBorders>
              <w:top w:val="nil"/>
              <w:left w:val="single" w:color="auto" w:sz="12" w:space="0"/>
              <w:bottom w:val="single" w:color="auto" w:sz="4" w:space="0"/>
              <w:right w:val="single" w:color="auto" w:sz="4" w:space="0"/>
            </w:tcBorders>
            <w:vAlign w:val="center"/>
          </w:tcPr>
          <w:p w14:paraId="6CC2CCEF">
            <w:pPr>
              <w:spacing w:line="580" w:lineRule="exact"/>
              <w:rPr>
                <w:rFonts w:asciiTheme="minorEastAsia" w:hAnsiTheme="minorEastAsia" w:cstheme="minorEastAsia"/>
                <w:sz w:val="18"/>
                <w:szCs w:val="18"/>
              </w:rPr>
            </w:pPr>
          </w:p>
        </w:tc>
        <w:tc>
          <w:tcPr>
            <w:tcW w:w="1365" w:type="dxa"/>
            <w:tcBorders>
              <w:top w:val="single" w:color="auto" w:sz="4" w:space="0"/>
              <w:left w:val="nil"/>
              <w:bottom w:val="single" w:color="auto" w:sz="4" w:space="0"/>
              <w:right w:val="single" w:color="auto" w:sz="4" w:space="0"/>
            </w:tcBorders>
          </w:tcPr>
          <w:p w14:paraId="29A1108F">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第四节</w:t>
            </w:r>
          </w:p>
        </w:tc>
        <w:tc>
          <w:tcPr>
            <w:tcW w:w="3780" w:type="dxa"/>
            <w:tcBorders>
              <w:top w:val="single" w:color="auto" w:sz="4" w:space="0"/>
              <w:left w:val="nil"/>
              <w:bottom w:val="single" w:color="auto" w:sz="4" w:space="0"/>
              <w:right w:val="single" w:color="auto" w:sz="4" w:space="0"/>
            </w:tcBorders>
          </w:tcPr>
          <w:p w14:paraId="7CBFF8D9">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政策性银行</w:t>
            </w:r>
          </w:p>
        </w:tc>
        <w:tc>
          <w:tcPr>
            <w:tcW w:w="1080" w:type="dxa"/>
            <w:vMerge w:val="continue"/>
            <w:tcBorders>
              <w:top w:val="nil"/>
              <w:left w:val="nil"/>
              <w:bottom w:val="single" w:color="auto" w:sz="4" w:space="0"/>
              <w:right w:val="single" w:color="auto" w:sz="4" w:space="0"/>
            </w:tcBorders>
          </w:tcPr>
          <w:p w14:paraId="188EEFA3">
            <w:pPr>
              <w:spacing w:line="580" w:lineRule="exact"/>
              <w:rPr>
                <w:rFonts w:asciiTheme="minorEastAsia" w:hAnsiTheme="minorEastAsia" w:cstheme="minorEastAsia"/>
                <w:sz w:val="18"/>
                <w:szCs w:val="18"/>
              </w:rPr>
            </w:pPr>
          </w:p>
        </w:tc>
        <w:tc>
          <w:tcPr>
            <w:tcW w:w="596" w:type="dxa"/>
            <w:vMerge w:val="continue"/>
            <w:tcBorders>
              <w:top w:val="nil"/>
              <w:left w:val="nil"/>
              <w:bottom w:val="single" w:color="auto" w:sz="4" w:space="0"/>
              <w:right w:val="single" w:color="auto" w:sz="4" w:space="0"/>
            </w:tcBorders>
          </w:tcPr>
          <w:p w14:paraId="19F9DF51">
            <w:pPr>
              <w:spacing w:line="580" w:lineRule="exact"/>
              <w:rPr>
                <w:rFonts w:asciiTheme="minorEastAsia" w:hAnsiTheme="minorEastAsia" w:cstheme="minorEastAsia"/>
                <w:sz w:val="18"/>
                <w:szCs w:val="18"/>
              </w:rPr>
            </w:pPr>
          </w:p>
        </w:tc>
        <w:tc>
          <w:tcPr>
            <w:tcW w:w="360" w:type="dxa"/>
            <w:vMerge w:val="continue"/>
            <w:tcBorders>
              <w:top w:val="nil"/>
              <w:left w:val="nil"/>
              <w:bottom w:val="single" w:color="auto" w:sz="4" w:space="0"/>
              <w:right w:val="single" w:color="auto" w:sz="4" w:space="0"/>
            </w:tcBorders>
          </w:tcPr>
          <w:p w14:paraId="02BB08A5">
            <w:pPr>
              <w:spacing w:line="580" w:lineRule="exact"/>
              <w:rPr>
                <w:rFonts w:asciiTheme="minorEastAsia" w:hAnsiTheme="minorEastAsia" w:cstheme="minorEastAsia"/>
                <w:sz w:val="18"/>
                <w:szCs w:val="18"/>
              </w:rPr>
            </w:pPr>
          </w:p>
        </w:tc>
        <w:tc>
          <w:tcPr>
            <w:tcW w:w="1260" w:type="dxa"/>
            <w:vMerge w:val="continue"/>
            <w:tcBorders>
              <w:top w:val="nil"/>
              <w:left w:val="nil"/>
              <w:bottom w:val="single" w:color="auto" w:sz="4" w:space="0"/>
              <w:right w:val="single" w:color="auto" w:sz="4" w:space="0"/>
            </w:tcBorders>
          </w:tcPr>
          <w:p w14:paraId="5DF0EEE1">
            <w:pPr>
              <w:spacing w:line="580" w:lineRule="exact"/>
              <w:rPr>
                <w:rFonts w:asciiTheme="minorEastAsia" w:hAnsiTheme="minorEastAsia" w:cstheme="minorEastAsia"/>
                <w:sz w:val="18"/>
                <w:szCs w:val="18"/>
              </w:rPr>
            </w:pPr>
          </w:p>
        </w:tc>
      </w:tr>
      <w:tr w14:paraId="6A1D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155" w:type="dxa"/>
            <w:vMerge w:val="restart"/>
            <w:tcBorders>
              <w:top w:val="nil"/>
              <w:left w:val="single" w:color="auto" w:sz="12" w:space="0"/>
              <w:bottom w:val="single" w:color="auto" w:sz="4" w:space="0"/>
              <w:right w:val="single" w:color="auto" w:sz="4" w:space="0"/>
            </w:tcBorders>
            <w:vAlign w:val="center"/>
          </w:tcPr>
          <w:p w14:paraId="45A3F7C3">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8</w:t>
            </w:r>
          </w:p>
          <w:p w14:paraId="315C1251">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9</w:t>
            </w:r>
          </w:p>
          <w:p w14:paraId="29FB30C7">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10</w:t>
            </w:r>
          </w:p>
          <w:p w14:paraId="0D46792D">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11</w:t>
            </w:r>
          </w:p>
          <w:p w14:paraId="2FB564DB">
            <w:pPr>
              <w:spacing w:line="580" w:lineRule="exact"/>
              <w:jc w:val="center"/>
              <w:rPr>
                <w:rFonts w:asciiTheme="minorEastAsia" w:hAnsiTheme="minorEastAsia" w:cstheme="minorEastAsia"/>
                <w:sz w:val="18"/>
                <w:szCs w:val="18"/>
              </w:rPr>
            </w:pPr>
          </w:p>
        </w:tc>
        <w:tc>
          <w:tcPr>
            <w:tcW w:w="1365" w:type="dxa"/>
            <w:tcBorders>
              <w:top w:val="single" w:color="auto" w:sz="4" w:space="0"/>
              <w:left w:val="nil"/>
              <w:bottom w:val="single" w:color="auto" w:sz="4" w:space="0"/>
              <w:right w:val="single" w:color="auto" w:sz="4" w:space="0"/>
            </w:tcBorders>
          </w:tcPr>
          <w:p w14:paraId="50DF34EF">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第五章</w:t>
            </w:r>
          </w:p>
        </w:tc>
        <w:tc>
          <w:tcPr>
            <w:tcW w:w="3780" w:type="dxa"/>
            <w:tcBorders>
              <w:top w:val="single" w:color="auto" w:sz="4" w:space="0"/>
              <w:left w:val="nil"/>
              <w:bottom w:val="single" w:color="auto" w:sz="4" w:space="0"/>
              <w:right w:val="single" w:color="auto" w:sz="4" w:space="0"/>
            </w:tcBorders>
          </w:tcPr>
          <w:p w14:paraId="4D2B3060">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商业银行组织及业务管理</w:t>
            </w:r>
          </w:p>
        </w:tc>
        <w:tc>
          <w:tcPr>
            <w:tcW w:w="1080" w:type="dxa"/>
            <w:vMerge w:val="restart"/>
            <w:tcBorders>
              <w:top w:val="single" w:color="auto" w:sz="2" w:space="0"/>
              <w:left w:val="nil"/>
              <w:bottom w:val="single" w:color="auto" w:sz="4" w:space="0"/>
              <w:right w:val="single" w:color="auto" w:sz="4" w:space="0"/>
            </w:tcBorders>
          </w:tcPr>
          <w:p w14:paraId="745F44FF">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理论讲授案例讨论</w:t>
            </w:r>
          </w:p>
        </w:tc>
        <w:tc>
          <w:tcPr>
            <w:tcW w:w="596" w:type="dxa"/>
            <w:tcBorders>
              <w:top w:val="single" w:color="auto" w:sz="2" w:space="0"/>
              <w:left w:val="nil"/>
              <w:bottom w:val="single" w:color="auto" w:sz="4" w:space="0"/>
              <w:right w:val="single" w:color="auto" w:sz="4" w:space="0"/>
            </w:tcBorders>
          </w:tcPr>
          <w:p w14:paraId="29C350F9">
            <w:pPr>
              <w:spacing w:line="580" w:lineRule="exact"/>
              <w:ind w:firstLine="90" w:firstLineChars="50"/>
              <w:rPr>
                <w:rFonts w:asciiTheme="minorEastAsia" w:hAnsiTheme="minorEastAsia" w:cstheme="minorEastAsia"/>
                <w:sz w:val="18"/>
                <w:szCs w:val="18"/>
              </w:rPr>
            </w:pPr>
            <w:r>
              <w:rPr>
                <w:rFonts w:hint="eastAsia" w:asciiTheme="minorEastAsia" w:hAnsiTheme="minorEastAsia" w:cstheme="minorEastAsia"/>
                <w:sz w:val="18"/>
                <w:szCs w:val="18"/>
              </w:rPr>
              <w:t xml:space="preserve">4 </w:t>
            </w:r>
          </w:p>
        </w:tc>
        <w:tc>
          <w:tcPr>
            <w:tcW w:w="360" w:type="dxa"/>
            <w:vMerge w:val="restart"/>
            <w:tcBorders>
              <w:top w:val="single" w:color="auto" w:sz="2" w:space="0"/>
              <w:left w:val="nil"/>
              <w:bottom w:val="single" w:color="auto" w:sz="4" w:space="0"/>
              <w:right w:val="single" w:color="auto" w:sz="4" w:space="0"/>
            </w:tcBorders>
          </w:tcPr>
          <w:p w14:paraId="7813E2EC">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 </w:t>
            </w:r>
          </w:p>
          <w:p w14:paraId="7AEB1146">
            <w:pPr>
              <w:spacing w:line="580" w:lineRule="exact"/>
              <w:rPr>
                <w:rFonts w:asciiTheme="minorEastAsia" w:hAnsiTheme="minorEastAsia" w:cstheme="minorEastAsia"/>
                <w:sz w:val="18"/>
                <w:szCs w:val="18"/>
              </w:rPr>
            </w:pPr>
          </w:p>
          <w:p w14:paraId="13787BF6">
            <w:pPr>
              <w:spacing w:line="580" w:lineRule="exact"/>
              <w:rPr>
                <w:rFonts w:asciiTheme="minorEastAsia" w:hAnsiTheme="minorEastAsia" w:cstheme="minorEastAsia"/>
                <w:sz w:val="18"/>
                <w:szCs w:val="18"/>
              </w:rPr>
            </w:pPr>
          </w:p>
          <w:p w14:paraId="3469C520">
            <w:pPr>
              <w:spacing w:line="580" w:lineRule="exact"/>
              <w:rPr>
                <w:rFonts w:asciiTheme="minorEastAsia" w:hAnsiTheme="minorEastAsia" w:cstheme="minorEastAsia"/>
                <w:sz w:val="18"/>
                <w:szCs w:val="18"/>
              </w:rPr>
            </w:pPr>
          </w:p>
          <w:p w14:paraId="1DE44A18">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8</w:t>
            </w:r>
          </w:p>
        </w:tc>
        <w:tc>
          <w:tcPr>
            <w:tcW w:w="1260" w:type="dxa"/>
            <w:vMerge w:val="restart"/>
            <w:tcBorders>
              <w:top w:val="single" w:color="auto" w:sz="2" w:space="0"/>
              <w:left w:val="nil"/>
              <w:bottom w:val="single" w:color="auto" w:sz="4" w:space="0"/>
              <w:right w:val="single" w:color="auto" w:sz="4" w:space="0"/>
            </w:tcBorders>
          </w:tcPr>
          <w:p w14:paraId="47D4110C">
            <w:pPr>
              <w:spacing w:line="580" w:lineRule="exact"/>
              <w:jc w:val="center"/>
              <w:rPr>
                <w:rFonts w:asciiTheme="minorEastAsia" w:hAnsiTheme="minorEastAsia" w:cstheme="minorEastAsia"/>
                <w:color w:val="000000"/>
                <w:sz w:val="18"/>
                <w:szCs w:val="18"/>
              </w:rPr>
            </w:pPr>
          </w:p>
          <w:p w14:paraId="4819795D">
            <w:pPr>
              <w:spacing w:line="580" w:lineRule="exact"/>
              <w:jc w:val="center"/>
              <w:rPr>
                <w:rFonts w:asciiTheme="minorEastAsia" w:hAnsiTheme="minorEastAsia" w:cstheme="minorEastAsia"/>
                <w:color w:val="000000"/>
                <w:sz w:val="18"/>
                <w:szCs w:val="18"/>
              </w:rPr>
            </w:pPr>
          </w:p>
          <w:p w14:paraId="2E8F1989">
            <w:pPr>
              <w:spacing w:line="58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章节课后习题</w:t>
            </w:r>
            <w:r>
              <w:rPr>
                <w:rFonts w:hint="eastAsia" w:asciiTheme="minorEastAsia" w:hAnsiTheme="minorEastAsia" w:cstheme="minorEastAsia"/>
                <w:sz w:val="18"/>
                <w:szCs w:val="18"/>
              </w:rPr>
              <w:t> </w:t>
            </w:r>
          </w:p>
        </w:tc>
      </w:tr>
      <w:tr w14:paraId="2B29E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155" w:type="dxa"/>
            <w:vMerge w:val="continue"/>
            <w:tcBorders>
              <w:top w:val="nil"/>
              <w:left w:val="single" w:color="auto" w:sz="12" w:space="0"/>
              <w:bottom w:val="single" w:color="auto" w:sz="4" w:space="0"/>
              <w:right w:val="single" w:color="auto" w:sz="4" w:space="0"/>
            </w:tcBorders>
            <w:vAlign w:val="center"/>
          </w:tcPr>
          <w:p w14:paraId="5DF3EE61">
            <w:pPr>
              <w:spacing w:line="580" w:lineRule="exact"/>
              <w:rPr>
                <w:rFonts w:asciiTheme="minorEastAsia" w:hAnsiTheme="minorEastAsia" w:cstheme="minorEastAsia"/>
                <w:sz w:val="18"/>
                <w:szCs w:val="18"/>
              </w:rPr>
            </w:pPr>
          </w:p>
        </w:tc>
        <w:tc>
          <w:tcPr>
            <w:tcW w:w="1365" w:type="dxa"/>
            <w:tcBorders>
              <w:top w:val="single" w:color="auto" w:sz="4" w:space="0"/>
              <w:left w:val="nil"/>
              <w:bottom w:val="single" w:color="auto" w:sz="4" w:space="0"/>
              <w:right w:val="single" w:color="auto" w:sz="4" w:space="0"/>
            </w:tcBorders>
          </w:tcPr>
          <w:p w14:paraId="488CF8F6">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第一节</w:t>
            </w:r>
          </w:p>
        </w:tc>
        <w:tc>
          <w:tcPr>
            <w:tcW w:w="3780" w:type="dxa"/>
            <w:tcBorders>
              <w:top w:val="single" w:color="auto" w:sz="4" w:space="0"/>
              <w:left w:val="nil"/>
              <w:bottom w:val="single" w:color="auto" w:sz="4" w:space="0"/>
              <w:right w:val="single" w:color="auto" w:sz="4" w:space="0"/>
            </w:tcBorders>
          </w:tcPr>
          <w:p w14:paraId="2CC0C66C">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商业银行述概</w:t>
            </w:r>
          </w:p>
        </w:tc>
        <w:tc>
          <w:tcPr>
            <w:tcW w:w="1080" w:type="dxa"/>
            <w:vMerge w:val="continue"/>
            <w:tcBorders>
              <w:top w:val="single" w:color="auto" w:sz="2" w:space="0"/>
              <w:left w:val="nil"/>
              <w:bottom w:val="single" w:color="auto" w:sz="4" w:space="0"/>
              <w:right w:val="single" w:color="auto" w:sz="4" w:space="0"/>
            </w:tcBorders>
          </w:tcPr>
          <w:p w14:paraId="1AED367E">
            <w:pPr>
              <w:spacing w:line="580" w:lineRule="exact"/>
              <w:rPr>
                <w:rFonts w:asciiTheme="minorEastAsia" w:hAnsiTheme="minorEastAsia" w:cstheme="minorEastAsia"/>
                <w:sz w:val="18"/>
                <w:szCs w:val="18"/>
              </w:rPr>
            </w:pPr>
          </w:p>
        </w:tc>
        <w:tc>
          <w:tcPr>
            <w:tcW w:w="596" w:type="dxa"/>
            <w:vMerge w:val="restart"/>
            <w:tcBorders>
              <w:top w:val="nil"/>
              <w:left w:val="nil"/>
              <w:bottom w:val="single" w:color="auto" w:sz="4" w:space="0"/>
              <w:right w:val="single" w:color="auto" w:sz="4" w:space="0"/>
            </w:tcBorders>
          </w:tcPr>
          <w:p w14:paraId="48E0AFBE">
            <w:pPr>
              <w:spacing w:line="580" w:lineRule="exact"/>
              <w:jc w:val="center"/>
              <w:rPr>
                <w:rFonts w:asciiTheme="minorEastAsia" w:hAnsiTheme="minorEastAsia" w:cstheme="minorEastAsia"/>
                <w:sz w:val="18"/>
                <w:szCs w:val="18"/>
              </w:rPr>
            </w:pPr>
          </w:p>
          <w:p w14:paraId="516D650C">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360" w:type="dxa"/>
            <w:vMerge w:val="continue"/>
            <w:tcBorders>
              <w:top w:val="single" w:color="auto" w:sz="2" w:space="0"/>
              <w:left w:val="nil"/>
              <w:bottom w:val="single" w:color="auto" w:sz="4" w:space="0"/>
              <w:right w:val="single" w:color="auto" w:sz="4" w:space="0"/>
            </w:tcBorders>
          </w:tcPr>
          <w:p w14:paraId="364CA5CE">
            <w:pPr>
              <w:spacing w:line="580" w:lineRule="exact"/>
              <w:rPr>
                <w:rFonts w:asciiTheme="minorEastAsia" w:hAnsiTheme="minorEastAsia" w:cstheme="minorEastAsia"/>
                <w:sz w:val="18"/>
                <w:szCs w:val="18"/>
              </w:rPr>
            </w:pPr>
          </w:p>
        </w:tc>
        <w:tc>
          <w:tcPr>
            <w:tcW w:w="1260" w:type="dxa"/>
            <w:vMerge w:val="continue"/>
            <w:tcBorders>
              <w:top w:val="single" w:color="auto" w:sz="2" w:space="0"/>
              <w:left w:val="nil"/>
              <w:bottom w:val="single" w:color="auto" w:sz="4" w:space="0"/>
              <w:right w:val="single" w:color="auto" w:sz="4" w:space="0"/>
            </w:tcBorders>
          </w:tcPr>
          <w:p w14:paraId="24A157A9">
            <w:pPr>
              <w:spacing w:line="580" w:lineRule="exact"/>
              <w:rPr>
                <w:rFonts w:asciiTheme="minorEastAsia" w:hAnsiTheme="minorEastAsia" w:cstheme="minorEastAsia"/>
                <w:sz w:val="18"/>
                <w:szCs w:val="18"/>
              </w:rPr>
            </w:pPr>
          </w:p>
        </w:tc>
      </w:tr>
      <w:tr w14:paraId="4CFF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155" w:type="dxa"/>
            <w:vMerge w:val="continue"/>
            <w:tcBorders>
              <w:top w:val="nil"/>
              <w:left w:val="single" w:color="auto" w:sz="12" w:space="0"/>
              <w:bottom w:val="single" w:color="auto" w:sz="4" w:space="0"/>
              <w:right w:val="single" w:color="auto" w:sz="4" w:space="0"/>
            </w:tcBorders>
            <w:vAlign w:val="center"/>
          </w:tcPr>
          <w:p w14:paraId="6ADD51A0">
            <w:pPr>
              <w:spacing w:line="580" w:lineRule="exact"/>
              <w:rPr>
                <w:rFonts w:asciiTheme="minorEastAsia" w:hAnsiTheme="minorEastAsia" w:cstheme="minorEastAsia"/>
                <w:sz w:val="18"/>
                <w:szCs w:val="18"/>
              </w:rPr>
            </w:pPr>
          </w:p>
        </w:tc>
        <w:tc>
          <w:tcPr>
            <w:tcW w:w="1365" w:type="dxa"/>
            <w:tcBorders>
              <w:top w:val="single" w:color="auto" w:sz="4" w:space="0"/>
              <w:left w:val="nil"/>
              <w:bottom w:val="single" w:color="auto" w:sz="4" w:space="0"/>
              <w:right w:val="single" w:color="auto" w:sz="4" w:space="0"/>
            </w:tcBorders>
          </w:tcPr>
          <w:p w14:paraId="7E2B2079">
            <w:pPr>
              <w:spacing w:line="580" w:lineRule="exact"/>
              <w:ind w:firstLine="270" w:firstLineChars="150"/>
              <w:rPr>
                <w:rFonts w:asciiTheme="minorEastAsia" w:hAnsiTheme="minorEastAsia" w:cstheme="minorEastAsia"/>
                <w:sz w:val="18"/>
                <w:szCs w:val="18"/>
              </w:rPr>
            </w:pPr>
            <w:r>
              <w:rPr>
                <w:rFonts w:hint="eastAsia" w:asciiTheme="minorEastAsia" w:hAnsiTheme="minorEastAsia" w:cstheme="minorEastAsia"/>
                <w:sz w:val="18"/>
                <w:szCs w:val="18"/>
              </w:rPr>
              <w:t xml:space="preserve">第二节 </w:t>
            </w:r>
          </w:p>
        </w:tc>
        <w:tc>
          <w:tcPr>
            <w:tcW w:w="3780" w:type="dxa"/>
            <w:tcBorders>
              <w:top w:val="single" w:color="auto" w:sz="4" w:space="0"/>
              <w:left w:val="nil"/>
              <w:bottom w:val="single" w:color="auto" w:sz="4" w:space="0"/>
              <w:right w:val="single" w:color="auto" w:sz="4" w:space="0"/>
            </w:tcBorders>
          </w:tcPr>
          <w:p w14:paraId="65252457">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商业银行组织结构</w:t>
            </w:r>
          </w:p>
        </w:tc>
        <w:tc>
          <w:tcPr>
            <w:tcW w:w="1080" w:type="dxa"/>
            <w:vMerge w:val="continue"/>
            <w:tcBorders>
              <w:top w:val="single" w:color="auto" w:sz="2" w:space="0"/>
              <w:left w:val="nil"/>
              <w:bottom w:val="single" w:color="auto" w:sz="4" w:space="0"/>
              <w:right w:val="single" w:color="auto" w:sz="4" w:space="0"/>
            </w:tcBorders>
          </w:tcPr>
          <w:p w14:paraId="63C0A098">
            <w:pPr>
              <w:spacing w:line="580" w:lineRule="exact"/>
              <w:rPr>
                <w:rFonts w:asciiTheme="minorEastAsia" w:hAnsiTheme="minorEastAsia" w:cstheme="minorEastAsia"/>
                <w:sz w:val="18"/>
                <w:szCs w:val="18"/>
              </w:rPr>
            </w:pPr>
          </w:p>
        </w:tc>
        <w:tc>
          <w:tcPr>
            <w:tcW w:w="596" w:type="dxa"/>
            <w:vMerge w:val="continue"/>
            <w:tcBorders>
              <w:top w:val="nil"/>
              <w:left w:val="nil"/>
              <w:bottom w:val="single" w:color="auto" w:sz="4" w:space="0"/>
              <w:right w:val="single" w:color="auto" w:sz="4" w:space="0"/>
            </w:tcBorders>
          </w:tcPr>
          <w:p w14:paraId="7EE7370B">
            <w:pPr>
              <w:spacing w:line="580" w:lineRule="exact"/>
              <w:rPr>
                <w:rFonts w:asciiTheme="minorEastAsia" w:hAnsiTheme="minorEastAsia" w:cstheme="minorEastAsia"/>
                <w:sz w:val="18"/>
                <w:szCs w:val="18"/>
              </w:rPr>
            </w:pPr>
          </w:p>
        </w:tc>
        <w:tc>
          <w:tcPr>
            <w:tcW w:w="360" w:type="dxa"/>
            <w:vMerge w:val="continue"/>
            <w:tcBorders>
              <w:top w:val="single" w:color="auto" w:sz="2" w:space="0"/>
              <w:left w:val="nil"/>
              <w:bottom w:val="single" w:color="auto" w:sz="4" w:space="0"/>
              <w:right w:val="single" w:color="auto" w:sz="4" w:space="0"/>
            </w:tcBorders>
          </w:tcPr>
          <w:p w14:paraId="4B0DF83B">
            <w:pPr>
              <w:spacing w:line="580" w:lineRule="exact"/>
              <w:rPr>
                <w:rFonts w:asciiTheme="minorEastAsia" w:hAnsiTheme="minorEastAsia" w:cstheme="minorEastAsia"/>
                <w:sz w:val="18"/>
                <w:szCs w:val="18"/>
              </w:rPr>
            </w:pPr>
          </w:p>
        </w:tc>
        <w:tc>
          <w:tcPr>
            <w:tcW w:w="1260" w:type="dxa"/>
            <w:vMerge w:val="continue"/>
            <w:tcBorders>
              <w:top w:val="single" w:color="auto" w:sz="2" w:space="0"/>
              <w:left w:val="nil"/>
              <w:bottom w:val="single" w:color="auto" w:sz="4" w:space="0"/>
              <w:right w:val="single" w:color="auto" w:sz="4" w:space="0"/>
            </w:tcBorders>
          </w:tcPr>
          <w:p w14:paraId="6A83F689">
            <w:pPr>
              <w:spacing w:line="580" w:lineRule="exact"/>
              <w:rPr>
                <w:rFonts w:asciiTheme="minorEastAsia" w:hAnsiTheme="minorEastAsia" w:cstheme="minorEastAsia"/>
                <w:sz w:val="18"/>
                <w:szCs w:val="18"/>
              </w:rPr>
            </w:pPr>
          </w:p>
        </w:tc>
      </w:tr>
      <w:tr w14:paraId="32999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155" w:type="dxa"/>
            <w:vMerge w:val="continue"/>
            <w:tcBorders>
              <w:top w:val="nil"/>
              <w:left w:val="single" w:color="auto" w:sz="12" w:space="0"/>
              <w:bottom w:val="single" w:color="auto" w:sz="4" w:space="0"/>
              <w:right w:val="single" w:color="auto" w:sz="4" w:space="0"/>
            </w:tcBorders>
            <w:vAlign w:val="center"/>
          </w:tcPr>
          <w:p w14:paraId="097C5BCC">
            <w:pPr>
              <w:spacing w:line="580" w:lineRule="exact"/>
              <w:rPr>
                <w:rFonts w:asciiTheme="minorEastAsia" w:hAnsiTheme="minorEastAsia" w:cstheme="minorEastAsia"/>
                <w:sz w:val="18"/>
                <w:szCs w:val="18"/>
              </w:rPr>
            </w:pPr>
          </w:p>
        </w:tc>
        <w:tc>
          <w:tcPr>
            <w:tcW w:w="1365" w:type="dxa"/>
            <w:tcBorders>
              <w:top w:val="single" w:color="auto" w:sz="4" w:space="0"/>
              <w:left w:val="nil"/>
              <w:bottom w:val="single" w:color="auto" w:sz="4" w:space="0"/>
              <w:right w:val="single" w:color="auto" w:sz="4" w:space="0"/>
            </w:tcBorders>
          </w:tcPr>
          <w:p w14:paraId="11AA9631">
            <w:pPr>
              <w:spacing w:line="580" w:lineRule="exact"/>
              <w:ind w:firstLine="270" w:firstLineChars="150"/>
              <w:rPr>
                <w:rFonts w:asciiTheme="minorEastAsia" w:hAnsiTheme="minorEastAsia" w:cstheme="minorEastAsia"/>
                <w:sz w:val="18"/>
                <w:szCs w:val="18"/>
              </w:rPr>
            </w:pPr>
            <w:r>
              <w:rPr>
                <w:rFonts w:hint="eastAsia" w:asciiTheme="minorEastAsia" w:hAnsiTheme="minorEastAsia" w:cstheme="minorEastAsia"/>
                <w:sz w:val="18"/>
                <w:szCs w:val="18"/>
              </w:rPr>
              <w:t>第三节</w:t>
            </w:r>
          </w:p>
        </w:tc>
        <w:tc>
          <w:tcPr>
            <w:tcW w:w="3780" w:type="dxa"/>
            <w:tcBorders>
              <w:top w:val="single" w:color="auto" w:sz="4" w:space="0"/>
              <w:left w:val="nil"/>
              <w:bottom w:val="single" w:color="auto" w:sz="4" w:space="0"/>
              <w:right w:val="single" w:color="auto" w:sz="4" w:space="0"/>
            </w:tcBorders>
          </w:tcPr>
          <w:p w14:paraId="4E452E10">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商业银行的负债业务</w:t>
            </w:r>
          </w:p>
        </w:tc>
        <w:tc>
          <w:tcPr>
            <w:tcW w:w="1080" w:type="dxa"/>
            <w:vMerge w:val="restart"/>
            <w:tcBorders>
              <w:top w:val="nil"/>
              <w:left w:val="nil"/>
              <w:bottom w:val="single" w:color="auto" w:sz="4" w:space="0"/>
              <w:right w:val="single" w:color="auto" w:sz="4" w:space="0"/>
            </w:tcBorders>
          </w:tcPr>
          <w:p w14:paraId="11853EBD">
            <w:pPr>
              <w:spacing w:line="580" w:lineRule="exact"/>
              <w:rPr>
                <w:rFonts w:asciiTheme="minorEastAsia" w:hAnsiTheme="minorEastAsia" w:cstheme="minorEastAsia"/>
                <w:sz w:val="18"/>
                <w:szCs w:val="18"/>
              </w:rPr>
            </w:pPr>
          </w:p>
          <w:p w14:paraId="523DACAC">
            <w:pPr>
              <w:spacing w:line="580" w:lineRule="exact"/>
              <w:rPr>
                <w:rFonts w:asciiTheme="minorEastAsia" w:hAnsiTheme="minorEastAsia" w:cstheme="minorEastAsia"/>
                <w:sz w:val="18"/>
                <w:szCs w:val="18"/>
              </w:rPr>
            </w:pPr>
          </w:p>
        </w:tc>
        <w:tc>
          <w:tcPr>
            <w:tcW w:w="596" w:type="dxa"/>
            <w:vMerge w:val="restart"/>
            <w:tcBorders>
              <w:top w:val="nil"/>
              <w:left w:val="nil"/>
              <w:bottom w:val="single" w:color="auto" w:sz="4" w:space="0"/>
              <w:right w:val="single" w:color="auto" w:sz="4" w:space="0"/>
            </w:tcBorders>
          </w:tcPr>
          <w:p w14:paraId="16DA37AA">
            <w:pPr>
              <w:spacing w:line="580" w:lineRule="exact"/>
              <w:jc w:val="center"/>
              <w:rPr>
                <w:rFonts w:asciiTheme="minorEastAsia" w:hAnsiTheme="minorEastAsia" w:cstheme="minorEastAsia"/>
                <w:sz w:val="18"/>
                <w:szCs w:val="18"/>
              </w:rPr>
            </w:pPr>
          </w:p>
          <w:p w14:paraId="6A2F299F">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2</w:t>
            </w:r>
          </w:p>
          <w:p w14:paraId="3A8EF7DD">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 </w:t>
            </w:r>
          </w:p>
        </w:tc>
        <w:tc>
          <w:tcPr>
            <w:tcW w:w="360" w:type="dxa"/>
            <w:vMerge w:val="continue"/>
            <w:tcBorders>
              <w:top w:val="single" w:color="auto" w:sz="2" w:space="0"/>
              <w:left w:val="nil"/>
              <w:bottom w:val="single" w:color="auto" w:sz="4" w:space="0"/>
              <w:right w:val="single" w:color="auto" w:sz="4" w:space="0"/>
            </w:tcBorders>
          </w:tcPr>
          <w:p w14:paraId="710C06D9">
            <w:pPr>
              <w:spacing w:line="580" w:lineRule="exact"/>
              <w:rPr>
                <w:rFonts w:asciiTheme="minorEastAsia" w:hAnsiTheme="minorEastAsia" w:cstheme="minorEastAsia"/>
                <w:sz w:val="18"/>
                <w:szCs w:val="18"/>
              </w:rPr>
            </w:pPr>
          </w:p>
        </w:tc>
        <w:tc>
          <w:tcPr>
            <w:tcW w:w="1260" w:type="dxa"/>
            <w:vMerge w:val="continue"/>
            <w:tcBorders>
              <w:top w:val="single" w:color="auto" w:sz="2" w:space="0"/>
              <w:left w:val="nil"/>
              <w:bottom w:val="single" w:color="auto" w:sz="4" w:space="0"/>
              <w:right w:val="single" w:color="auto" w:sz="4" w:space="0"/>
            </w:tcBorders>
          </w:tcPr>
          <w:p w14:paraId="3663E184">
            <w:pPr>
              <w:spacing w:line="580" w:lineRule="exact"/>
              <w:rPr>
                <w:rFonts w:asciiTheme="minorEastAsia" w:hAnsiTheme="minorEastAsia" w:cstheme="minorEastAsia"/>
                <w:sz w:val="18"/>
                <w:szCs w:val="18"/>
              </w:rPr>
            </w:pPr>
          </w:p>
        </w:tc>
      </w:tr>
      <w:tr w14:paraId="163E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155" w:type="dxa"/>
            <w:vMerge w:val="continue"/>
            <w:tcBorders>
              <w:top w:val="nil"/>
              <w:left w:val="single" w:color="auto" w:sz="12" w:space="0"/>
              <w:bottom w:val="single" w:color="auto" w:sz="4" w:space="0"/>
              <w:right w:val="single" w:color="auto" w:sz="4" w:space="0"/>
            </w:tcBorders>
            <w:vAlign w:val="center"/>
          </w:tcPr>
          <w:p w14:paraId="5B9D81B6">
            <w:pPr>
              <w:spacing w:line="580" w:lineRule="exact"/>
              <w:rPr>
                <w:rFonts w:asciiTheme="minorEastAsia" w:hAnsiTheme="minorEastAsia" w:cstheme="minorEastAsia"/>
                <w:sz w:val="18"/>
                <w:szCs w:val="18"/>
              </w:rPr>
            </w:pPr>
          </w:p>
        </w:tc>
        <w:tc>
          <w:tcPr>
            <w:tcW w:w="1365" w:type="dxa"/>
            <w:tcBorders>
              <w:top w:val="single" w:color="auto" w:sz="4" w:space="0"/>
              <w:left w:val="nil"/>
              <w:bottom w:val="single" w:color="auto" w:sz="4" w:space="0"/>
              <w:right w:val="single" w:color="auto" w:sz="4" w:space="0"/>
            </w:tcBorders>
          </w:tcPr>
          <w:p w14:paraId="2D926B89">
            <w:pPr>
              <w:spacing w:line="580" w:lineRule="exact"/>
              <w:ind w:firstLine="270" w:firstLineChars="150"/>
              <w:rPr>
                <w:rFonts w:asciiTheme="minorEastAsia" w:hAnsiTheme="minorEastAsia" w:cstheme="minorEastAsia"/>
                <w:sz w:val="18"/>
                <w:szCs w:val="18"/>
              </w:rPr>
            </w:pPr>
            <w:r>
              <w:rPr>
                <w:rFonts w:hint="eastAsia" w:asciiTheme="minorEastAsia" w:hAnsiTheme="minorEastAsia" w:cstheme="minorEastAsia"/>
                <w:sz w:val="18"/>
                <w:szCs w:val="18"/>
              </w:rPr>
              <w:t>第四节</w:t>
            </w:r>
          </w:p>
        </w:tc>
        <w:tc>
          <w:tcPr>
            <w:tcW w:w="3780" w:type="dxa"/>
            <w:tcBorders>
              <w:top w:val="single" w:color="auto" w:sz="4" w:space="0"/>
              <w:left w:val="nil"/>
              <w:bottom w:val="single" w:color="auto" w:sz="4" w:space="0"/>
              <w:right w:val="single" w:color="auto" w:sz="4" w:space="0"/>
            </w:tcBorders>
          </w:tcPr>
          <w:p w14:paraId="773CC2A6">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商业银行的资产业务</w:t>
            </w:r>
          </w:p>
        </w:tc>
        <w:tc>
          <w:tcPr>
            <w:tcW w:w="1080" w:type="dxa"/>
            <w:vMerge w:val="continue"/>
            <w:tcBorders>
              <w:top w:val="nil"/>
              <w:left w:val="nil"/>
              <w:bottom w:val="single" w:color="auto" w:sz="4" w:space="0"/>
              <w:right w:val="single" w:color="auto" w:sz="4" w:space="0"/>
            </w:tcBorders>
          </w:tcPr>
          <w:p w14:paraId="77EB7F85">
            <w:pPr>
              <w:spacing w:line="580" w:lineRule="exact"/>
              <w:rPr>
                <w:rFonts w:asciiTheme="minorEastAsia" w:hAnsiTheme="minorEastAsia" w:cstheme="minorEastAsia"/>
                <w:sz w:val="18"/>
                <w:szCs w:val="18"/>
              </w:rPr>
            </w:pPr>
          </w:p>
        </w:tc>
        <w:tc>
          <w:tcPr>
            <w:tcW w:w="596" w:type="dxa"/>
            <w:vMerge w:val="continue"/>
            <w:tcBorders>
              <w:top w:val="nil"/>
              <w:left w:val="nil"/>
              <w:bottom w:val="single" w:color="auto" w:sz="4" w:space="0"/>
              <w:right w:val="single" w:color="auto" w:sz="4" w:space="0"/>
            </w:tcBorders>
          </w:tcPr>
          <w:p w14:paraId="7BB1E37F">
            <w:pPr>
              <w:spacing w:line="580" w:lineRule="exact"/>
              <w:rPr>
                <w:rFonts w:asciiTheme="minorEastAsia" w:hAnsiTheme="minorEastAsia" w:cstheme="minorEastAsia"/>
                <w:sz w:val="18"/>
                <w:szCs w:val="18"/>
              </w:rPr>
            </w:pPr>
          </w:p>
        </w:tc>
        <w:tc>
          <w:tcPr>
            <w:tcW w:w="360" w:type="dxa"/>
            <w:vMerge w:val="continue"/>
            <w:tcBorders>
              <w:top w:val="single" w:color="auto" w:sz="2" w:space="0"/>
              <w:left w:val="nil"/>
              <w:bottom w:val="single" w:color="auto" w:sz="4" w:space="0"/>
              <w:right w:val="single" w:color="auto" w:sz="4" w:space="0"/>
            </w:tcBorders>
          </w:tcPr>
          <w:p w14:paraId="41A1C2E2">
            <w:pPr>
              <w:spacing w:line="580" w:lineRule="exact"/>
              <w:rPr>
                <w:rFonts w:asciiTheme="minorEastAsia" w:hAnsiTheme="minorEastAsia" w:cstheme="minorEastAsia"/>
                <w:sz w:val="18"/>
                <w:szCs w:val="18"/>
              </w:rPr>
            </w:pPr>
          </w:p>
        </w:tc>
        <w:tc>
          <w:tcPr>
            <w:tcW w:w="1260" w:type="dxa"/>
            <w:vMerge w:val="continue"/>
            <w:tcBorders>
              <w:top w:val="single" w:color="auto" w:sz="2" w:space="0"/>
              <w:left w:val="nil"/>
              <w:bottom w:val="single" w:color="auto" w:sz="4" w:space="0"/>
              <w:right w:val="single" w:color="auto" w:sz="4" w:space="0"/>
            </w:tcBorders>
          </w:tcPr>
          <w:p w14:paraId="6DEBCDA9">
            <w:pPr>
              <w:spacing w:line="580" w:lineRule="exact"/>
              <w:rPr>
                <w:rFonts w:asciiTheme="minorEastAsia" w:hAnsiTheme="minorEastAsia" w:cstheme="minorEastAsia"/>
                <w:sz w:val="18"/>
                <w:szCs w:val="18"/>
              </w:rPr>
            </w:pPr>
          </w:p>
        </w:tc>
      </w:tr>
      <w:tr w14:paraId="144E3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1155" w:type="dxa"/>
            <w:vMerge w:val="continue"/>
            <w:tcBorders>
              <w:top w:val="nil"/>
              <w:left w:val="single" w:color="auto" w:sz="12" w:space="0"/>
              <w:bottom w:val="single" w:color="auto" w:sz="4" w:space="0"/>
              <w:right w:val="single" w:color="auto" w:sz="4" w:space="0"/>
            </w:tcBorders>
            <w:vAlign w:val="center"/>
          </w:tcPr>
          <w:p w14:paraId="7FF8B94B">
            <w:pPr>
              <w:spacing w:line="580" w:lineRule="exact"/>
              <w:rPr>
                <w:rFonts w:asciiTheme="minorEastAsia" w:hAnsiTheme="minorEastAsia" w:cstheme="minorEastAsia"/>
                <w:sz w:val="18"/>
                <w:szCs w:val="18"/>
              </w:rPr>
            </w:pPr>
          </w:p>
        </w:tc>
        <w:tc>
          <w:tcPr>
            <w:tcW w:w="1365" w:type="dxa"/>
            <w:tcBorders>
              <w:top w:val="single" w:color="auto" w:sz="4" w:space="0"/>
              <w:left w:val="nil"/>
              <w:bottom w:val="single" w:color="auto" w:sz="4" w:space="0"/>
              <w:right w:val="single" w:color="auto" w:sz="4" w:space="0"/>
            </w:tcBorders>
          </w:tcPr>
          <w:p w14:paraId="3AA25F7D">
            <w:pPr>
              <w:spacing w:line="580" w:lineRule="exact"/>
              <w:ind w:firstLine="270" w:firstLineChars="150"/>
              <w:rPr>
                <w:rFonts w:asciiTheme="minorEastAsia" w:hAnsiTheme="minorEastAsia" w:cstheme="minorEastAsia"/>
                <w:sz w:val="18"/>
                <w:szCs w:val="18"/>
              </w:rPr>
            </w:pPr>
            <w:r>
              <w:rPr>
                <w:rFonts w:hint="eastAsia" w:asciiTheme="minorEastAsia" w:hAnsiTheme="minorEastAsia" w:cstheme="minorEastAsia"/>
                <w:sz w:val="18"/>
                <w:szCs w:val="18"/>
              </w:rPr>
              <w:t>第五节</w:t>
            </w:r>
          </w:p>
        </w:tc>
        <w:tc>
          <w:tcPr>
            <w:tcW w:w="3780" w:type="dxa"/>
            <w:tcBorders>
              <w:top w:val="single" w:color="auto" w:sz="4" w:space="0"/>
              <w:left w:val="nil"/>
              <w:bottom w:val="single" w:color="auto" w:sz="4" w:space="0"/>
              <w:right w:val="single" w:color="auto" w:sz="4" w:space="0"/>
            </w:tcBorders>
          </w:tcPr>
          <w:p w14:paraId="14B2DA65">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商业银行的中间业务</w:t>
            </w:r>
          </w:p>
        </w:tc>
        <w:tc>
          <w:tcPr>
            <w:tcW w:w="1080" w:type="dxa"/>
            <w:vMerge w:val="continue"/>
            <w:tcBorders>
              <w:top w:val="nil"/>
              <w:left w:val="nil"/>
              <w:bottom w:val="single" w:color="auto" w:sz="4" w:space="0"/>
              <w:right w:val="single" w:color="auto" w:sz="4" w:space="0"/>
            </w:tcBorders>
          </w:tcPr>
          <w:p w14:paraId="7A3E9A09">
            <w:pPr>
              <w:spacing w:line="580" w:lineRule="exact"/>
              <w:rPr>
                <w:rFonts w:asciiTheme="minorEastAsia" w:hAnsiTheme="minorEastAsia" w:cstheme="minorEastAsia"/>
                <w:sz w:val="18"/>
                <w:szCs w:val="18"/>
              </w:rPr>
            </w:pPr>
          </w:p>
        </w:tc>
        <w:tc>
          <w:tcPr>
            <w:tcW w:w="596" w:type="dxa"/>
            <w:vMerge w:val="continue"/>
            <w:tcBorders>
              <w:top w:val="nil"/>
              <w:left w:val="nil"/>
              <w:bottom w:val="single" w:color="auto" w:sz="4" w:space="0"/>
              <w:right w:val="single" w:color="auto" w:sz="4" w:space="0"/>
            </w:tcBorders>
          </w:tcPr>
          <w:p w14:paraId="765C8550">
            <w:pPr>
              <w:spacing w:line="580" w:lineRule="exact"/>
              <w:rPr>
                <w:rFonts w:asciiTheme="minorEastAsia" w:hAnsiTheme="minorEastAsia" w:cstheme="minorEastAsia"/>
                <w:sz w:val="18"/>
                <w:szCs w:val="18"/>
              </w:rPr>
            </w:pPr>
          </w:p>
        </w:tc>
        <w:tc>
          <w:tcPr>
            <w:tcW w:w="360" w:type="dxa"/>
            <w:vMerge w:val="continue"/>
            <w:tcBorders>
              <w:top w:val="single" w:color="auto" w:sz="2" w:space="0"/>
              <w:left w:val="nil"/>
              <w:bottom w:val="single" w:color="auto" w:sz="4" w:space="0"/>
              <w:right w:val="single" w:color="auto" w:sz="4" w:space="0"/>
            </w:tcBorders>
          </w:tcPr>
          <w:p w14:paraId="3340FA48">
            <w:pPr>
              <w:spacing w:line="580" w:lineRule="exact"/>
              <w:rPr>
                <w:rFonts w:asciiTheme="minorEastAsia" w:hAnsiTheme="minorEastAsia" w:cstheme="minorEastAsia"/>
                <w:sz w:val="18"/>
                <w:szCs w:val="18"/>
              </w:rPr>
            </w:pPr>
          </w:p>
        </w:tc>
        <w:tc>
          <w:tcPr>
            <w:tcW w:w="1260" w:type="dxa"/>
            <w:vMerge w:val="continue"/>
            <w:tcBorders>
              <w:top w:val="single" w:color="auto" w:sz="2" w:space="0"/>
              <w:left w:val="nil"/>
              <w:bottom w:val="single" w:color="auto" w:sz="4" w:space="0"/>
              <w:right w:val="single" w:color="auto" w:sz="4" w:space="0"/>
            </w:tcBorders>
          </w:tcPr>
          <w:p w14:paraId="59FBA903">
            <w:pPr>
              <w:spacing w:line="580" w:lineRule="exact"/>
              <w:rPr>
                <w:rFonts w:asciiTheme="minorEastAsia" w:hAnsiTheme="minorEastAsia" w:cstheme="minorEastAsia"/>
                <w:sz w:val="18"/>
                <w:szCs w:val="18"/>
              </w:rPr>
            </w:pPr>
          </w:p>
        </w:tc>
      </w:tr>
      <w:tr w14:paraId="371A0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1155" w:type="dxa"/>
            <w:vMerge w:val="continue"/>
            <w:tcBorders>
              <w:top w:val="nil"/>
              <w:left w:val="single" w:color="auto" w:sz="12" w:space="0"/>
              <w:bottom w:val="single" w:color="auto" w:sz="4" w:space="0"/>
              <w:right w:val="single" w:color="auto" w:sz="4" w:space="0"/>
            </w:tcBorders>
            <w:vAlign w:val="center"/>
          </w:tcPr>
          <w:p w14:paraId="303CC371">
            <w:pPr>
              <w:spacing w:line="580" w:lineRule="exact"/>
              <w:rPr>
                <w:rFonts w:asciiTheme="minorEastAsia" w:hAnsiTheme="minorEastAsia" w:cstheme="minorEastAsia"/>
                <w:sz w:val="18"/>
                <w:szCs w:val="18"/>
              </w:rPr>
            </w:pPr>
          </w:p>
        </w:tc>
        <w:tc>
          <w:tcPr>
            <w:tcW w:w="1365" w:type="dxa"/>
            <w:tcBorders>
              <w:top w:val="single" w:color="auto" w:sz="4" w:space="0"/>
              <w:left w:val="nil"/>
              <w:bottom w:val="single" w:color="auto" w:sz="4" w:space="0"/>
              <w:right w:val="single" w:color="auto" w:sz="4" w:space="0"/>
            </w:tcBorders>
          </w:tcPr>
          <w:p w14:paraId="544F83B7">
            <w:pPr>
              <w:spacing w:line="58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期中考试</w:t>
            </w:r>
          </w:p>
        </w:tc>
        <w:tc>
          <w:tcPr>
            <w:tcW w:w="3780" w:type="dxa"/>
            <w:tcBorders>
              <w:top w:val="single" w:color="auto" w:sz="4" w:space="0"/>
              <w:left w:val="nil"/>
              <w:bottom w:val="single" w:color="auto" w:sz="4" w:space="0"/>
              <w:right w:val="single" w:color="auto" w:sz="4" w:space="0"/>
            </w:tcBorders>
          </w:tcPr>
          <w:p w14:paraId="78A79AA7">
            <w:pPr>
              <w:spacing w:line="580" w:lineRule="exact"/>
              <w:ind w:firstLine="542" w:firstLineChars="300"/>
              <w:rPr>
                <w:rFonts w:asciiTheme="minorEastAsia" w:hAnsiTheme="minorEastAsia" w:cstheme="minorEastAsia"/>
                <w:b/>
                <w:sz w:val="18"/>
                <w:szCs w:val="18"/>
              </w:rPr>
            </w:pPr>
            <w:r>
              <w:rPr>
                <w:rFonts w:hint="eastAsia" w:asciiTheme="minorEastAsia" w:hAnsiTheme="minorEastAsia" w:cstheme="minorEastAsia"/>
                <w:b/>
                <w:sz w:val="18"/>
                <w:szCs w:val="18"/>
              </w:rPr>
              <w:t>随堂出题</w:t>
            </w:r>
          </w:p>
        </w:tc>
        <w:tc>
          <w:tcPr>
            <w:tcW w:w="1080" w:type="dxa"/>
            <w:vMerge w:val="continue"/>
            <w:tcBorders>
              <w:top w:val="nil"/>
              <w:left w:val="nil"/>
              <w:bottom w:val="single" w:color="auto" w:sz="4" w:space="0"/>
              <w:right w:val="single" w:color="auto" w:sz="4" w:space="0"/>
            </w:tcBorders>
          </w:tcPr>
          <w:p w14:paraId="71923B49">
            <w:pPr>
              <w:spacing w:line="580" w:lineRule="exact"/>
              <w:rPr>
                <w:rFonts w:asciiTheme="minorEastAsia" w:hAnsiTheme="minorEastAsia" w:cstheme="minorEastAsia"/>
                <w:sz w:val="18"/>
                <w:szCs w:val="18"/>
              </w:rPr>
            </w:pPr>
          </w:p>
        </w:tc>
        <w:tc>
          <w:tcPr>
            <w:tcW w:w="956" w:type="dxa"/>
            <w:gridSpan w:val="2"/>
            <w:tcBorders>
              <w:top w:val="single" w:color="auto" w:sz="4" w:space="0"/>
              <w:left w:val="nil"/>
              <w:bottom w:val="single" w:color="auto" w:sz="2" w:space="0"/>
              <w:right w:val="single" w:color="auto" w:sz="4" w:space="0"/>
            </w:tcBorders>
          </w:tcPr>
          <w:p w14:paraId="637B23C6">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 xml:space="preserve">     2</w:t>
            </w:r>
          </w:p>
        </w:tc>
        <w:tc>
          <w:tcPr>
            <w:tcW w:w="1260" w:type="dxa"/>
            <w:vMerge w:val="continue"/>
            <w:tcBorders>
              <w:top w:val="single" w:color="auto" w:sz="2" w:space="0"/>
              <w:left w:val="nil"/>
              <w:bottom w:val="single" w:color="auto" w:sz="4" w:space="0"/>
              <w:right w:val="single" w:color="auto" w:sz="4" w:space="0"/>
            </w:tcBorders>
          </w:tcPr>
          <w:p w14:paraId="2EDE3A49">
            <w:pPr>
              <w:spacing w:line="580" w:lineRule="exact"/>
              <w:rPr>
                <w:rFonts w:asciiTheme="minorEastAsia" w:hAnsiTheme="minorEastAsia" w:cstheme="minorEastAsia"/>
                <w:sz w:val="18"/>
                <w:szCs w:val="18"/>
              </w:rPr>
            </w:pPr>
          </w:p>
        </w:tc>
      </w:tr>
      <w:tr w14:paraId="1E51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155" w:type="dxa"/>
            <w:vMerge w:val="restart"/>
            <w:tcBorders>
              <w:top w:val="nil"/>
              <w:left w:val="single" w:color="auto" w:sz="12" w:space="0"/>
              <w:bottom w:val="single" w:color="auto" w:sz="4" w:space="0"/>
              <w:right w:val="single" w:color="auto" w:sz="4" w:space="0"/>
            </w:tcBorders>
          </w:tcPr>
          <w:p w14:paraId="47003322">
            <w:pPr>
              <w:spacing w:line="580" w:lineRule="exact"/>
              <w:jc w:val="center"/>
              <w:rPr>
                <w:rFonts w:asciiTheme="minorEastAsia" w:hAnsiTheme="minorEastAsia" w:cstheme="minorEastAsia"/>
                <w:sz w:val="18"/>
                <w:szCs w:val="18"/>
              </w:rPr>
            </w:pPr>
          </w:p>
          <w:p w14:paraId="7EE5D247">
            <w:pPr>
              <w:spacing w:line="580" w:lineRule="exact"/>
              <w:ind w:firstLine="270" w:firstLineChars="150"/>
              <w:jc w:val="center"/>
              <w:rPr>
                <w:rFonts w:asciiTheme="minorEastAsia" w:hAnsiTheme="minorEastAsia" w:cstheme="minorEastAsia"/>
                <w:sz w:val="18"/>
                <w:szCs w:val="18"/>
              </w:rPr>
            </w:pPr>
            <w:r>
              <w:rPr>
                <w:rFonts w:hint="eastAsia" w:asciiTheme="minorEastAsia" w:hAnsiTheme="minorEastAsia" w:cstheme="minorEastAsia"/>
                <w:sz w:val="18"/>
                <w:szCs w:val="18"/>
              </w:rPr>
              <w:t>11</w:t>
            </w:r>
          </w:p>
          <w:p w14:paraId="3EE853A3">
            <w:pPr>
              <w:spacing w:line="580" w:lineRule="exact"/>
              <w:ind w:firstLine="270" w:firstLineChars="150"/>
              <w:jc w:val="center"/>
              <w:rPr>
                <w:rFonts w:asciiTheme="minorEastAsia" w:hAnsiTheme="minorEastAsia" w:cstheme="minorEastAsia"/>
                <w:sz w:val="18"/>
                <w:szCs w:val="18"/>
              </w:rPr>
            </w:pPr>
            <w:r>
              <w:rPr>
                <w:rFonts w:hint="eastAsia" w:asciiTheme="minorEastAsia" w:hAnsiTheme="minorEastAsia" w:cstheme="minorEastAsia"/>
                <w:sz w:val="18"/>
                <w:szCs w:val="18"/>
              </w:rPr>
              <w:t>12</w:t>
            </w:r>
          </w:p>
          <w:p w14:paraId="6AAA3B57">
            <w:pPr>
              <w:spacing w:line="580" w:lineRule="exact"/>
              <w:ind w:firstLine="270" w:firstLineChars="150"/>
              <w:jc w:val="center"/>
              <w:rPr>
                <w:rFonts w:asciiTheme="minorEastAsia" w:hAnsiTheme="minorEastAsia" w:cstheme="minorEastAsia"/>
                <w:sz w:val="18"/>
                <w:szCs w:val="18"/>
              </w:rPr>
            </w:pPr>
            <w:r>
              <w:rPr>
                <w:rFonts w:hint="eastAsia" w:asciiTheme="minorEastAsia" w:hAnsiTheme="minorEastAsia" w:cstheme="minorEastAsia"/>
                <w:sz w:val="18"/>
                <w:szCs w:val="18"/>
              </w:rPr>
              <w:t>13</w:t>
            </w:r>
          </w:p>
          <w:p w14:paraId="38F3C8B0">
            <w:pPr>
              <w:spacing w:line="580" w:lineRule="exact"/>
              <w:rPr>
                <w:rFonts w:asciiTheme="minorEastAsia" w:hAnsiTheme="minorEastAsia" w:cstheme="minorEastAsia"/>
                <w:sz w:val="18"/>
                <w:szCs w:val="18"/>
              </w:rPr>
            </w:pPr>
          </w:p>
        </w:tc>
        <w:tc>
          <w:tcPr>
            <w:tcW w:w="1365" w:type="dxa"/>
            <w:tcBorders>
              <w:top w:val="single" w:color="auto" w:sz="4" w:space="0"/>
              <w:left w:val="nil"/>
              <w:bottom w:val="single" w:color="auto" w:sz="4" w:space="0"/>
              <w:right w:val="single" w:color="auto" w:sz="4" w:space="0"/>
            </w:tcBorders>
          </w:tcPr>
          <w:p w14:paraId="6EF701B7">
            <w:pPr>
              <w:spacing w:line="580" w:lineRule="exact"/>
              <w:ind w:firstLine="180" w:firstLineChars="100"/>
              <w:rPr>
                <w:rFonts w:asciiTheme="minorEastAsia" w:hAnsiTheme="minorEastAsia" w:cstheme="minorEastAsia"/>
                <w:sz w:val="18"/>
                <w:szCs w:val="18"/>
              </w:rPr>
            </w:pPr>
            <w:r>
              <w:rPr>
                <w:rFonts w:hint="eastAsia" w:asciiTheme="minorEastAsia" w:hAnsiTheme="minorEastAsia" w:cstheme="minorEastAsia"/>
                <w:sz w:val="18"/>
                <w:szCs w:val="18"/>
              </w:rPr>
              <w:t>第六章</w:t>
            </w:r>
          </w:p>
        </w:tc>
        <w:tc>
          <w:tcPr>
            <w:tcW w:w="3780" w:type="dxa"/>
            <w:tcBorders>
              <w:top w:val="single" w:color="auto" w:sz="4" w:space="0"/>
              <w:left w:val="nil"/>
              <w:bottom w:val="single" w:color="auto" w:sz="4" w:space="0"/>
              <w:right w:val="single" w:color="auto" w:sz="4" w:space="0"/>
            </w:tcBorders>
          </w:tcPr>
          <w:p w14:paraId="02C6450C">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金融市场</w:t>
            </w:r>
          </w:p>
        </w:tc>
        <w:tc>
          <w:tcPr>
            <w:tcW w:w="1080" w:type="dxa"/>
            <w:vMerge w:val="restart"/>
            <w:tcBorders>
              <w:top w:val="nil"/>
              <w:left w:val="nil"/>
              <w:bottom w:val="single" w:color="auto" w:sz="4" w:space="0"/>
              <w:right w:val="single" w:color="auto" w:sz="4" w:space="0"/>
            </w:tcBorders>
          </w:tcPr>
          <w:p w14:paraId="60817A33">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理论讲授案例讨论</w:t>
            </w:r>
          </w:p>
          <w:p w14:paraId="09945FEF">
            <w:pPr>
              <w:spacing w:line="580" w:lineRule="exact"/>
              <w:rPr>
                <w:rFonts w:asciiTheme="minorEastAsia" w:hAnsiTheme="minorEastAsia" w:cstheme="minorEastAsia"/>
                <w:sz w:val="18"/>
                <w:szCs w:val="18"/>
              </w:rPr>
            </w:pPr>
          </w:p>
          <w:p w14:paraId="0598EC96">
            <w:pPr>
              <w:spacing w:line="580" w:lineRule="exact"/>
              <w:rPr>
                <w:rFonts w:asciiTheme="minorEastAsia" w:hAnsiTheme="minorEastAsia" w:cstheme="minorEastAsia"/>
                <w:sz w:val="18"/>
                <w:szCs w:val="18"/>
              </w:rPr>
            </w:pPr>
          </w:p>
          <w:p w14:paraId="64A77D00">
            <w:pPr>
              <w:spacing w:line="580" w:lineRule="exact"/>
              <w:rPr>
                <w:rFonts w:asciiTheme="minorEastAsia" w:hAnsiTheme="minorEastAsia" w:cstheme="minorEastAsia"/>
                <w:sz w:val="18"/>
                <w:szCs w:val="18"/>
              </w:rPr>
            </w:pPr>
          </w:p>
        </w:tc>
        <w:tc>
          <w:tcPr>
            <w:tcW w:w="596" w:type="dxa"/>
            <w:tcBorders>
              <w:top w:val="single" w:color="auto" w:sz="4" w:space="0"/>
              <w:left w:val="nil"/>
              <w:bottom w:val="single" w:color="auto" w:sz="4" w:space="0"/>
              <w:right w:val="single" w:color="auto" w:sz="4" w:space="0"/>
            </w:tcBorders>
          </w:tcPr>
          <w:p w14:paraId="1EB0D205">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4</w:t>
            </w:r>
          </w:p>
        </w:tc>
        <w:tc>
          <w:tcPr>
            <w:tcW w:w="360" w:type="dxa"/>
            <w:vMerge w:val="restart"/>
            <w:tcBorders>
              <w:top w:val="nil"/>
              <w:left w:val="nil"/>
              <w:bottom w:val="single" w:color="auto" w:sz="4" w:space="0"/>
              <w:right w:val="single" w:color="auto" w:sz="4" w:space="0"/>
            </w:tcBorders>
          </w:tcPr>
          <w:p w14:paraId="7DB7D773">
            <w:pPr>
              <w:spacing w:line="580" w:lineRule="exact"/>
              <w:jc w:val="center"/>
              <w:rPr>
                <w:rFonts w:asciiTheme="minorEastAsia" w:hAnsiTheme="minorEastAsia" w:cstheme="minorEastAsia"/>
                <w:sz w:val="18"/>
                <w:szCs w:val="18"/>
              </w:rPr>
            </w:pPr>
          </w:p>
          <w:p w14:paraId="70B92F2C">
            <w:pPr>
              <w:spacing w:line="580" w:lineRule="exact"/>
              <w:jc w:val="center"/>
              <w:rPr>
                <w:rFonts w:asciiTheme="minorEastAsia" w:hAnsiTheme="minorEastAsia" w:cstheme="minorEastAsia"/>
                <w:sz w:val="18"/>
                <w:szCs w:val="18"/>
              </w:rPr>
            </w:pPr>
          </w:p>
          <w:p w14:paraId="58428E05">
            <w:pPr>
              <w:spacing w:line="580" w:lineRule="exact"/>
              <w:jc w:val="center"/>
              <w:rPr>
                <w:rFonts w:asciiTheme="minorEastAsia" w:hAnsiTheme="minorEastAsia" w:cstheme="minorEastAsia"/>
                <w:sz w:val="18"/>
                <w:szCs w:val="18"/>
              </w:rPr>
            </w:pPr>
          </w:p>
          <w:p w14:paraId="4E0580DB">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4</w:t>
            </w:r>
          </w:p>
          <w:p w14:paraId="17D8AAE1">
            <w:pPr>
              <w:spacing w:line="580" w:lineRule="exact"/>
              <w:jc w:val="center"/>
              <w:rPr>
                <w:rFonts w:asciiTheme="minorEastAsia" w:hAnsiTheme="minorEastAsia" w:cstheme="minorEastAsia"/>
                <w:sz w:val="18"/>
                <w:szCs w:val="18"/>
              </w:rPr>
            </w:pPr>
          </w:p>
        </w:tc>
        <w:tc>
          <w:tcPr>
            <w:tcW w:w="1260" w:type="dxa"/>
            <w:vMerge w:val="restart"/>
            <w:tcBorders>
              <w:top w:val="single" w:color="auto" w:sz="4" w:space="0"/>
              <w:left w:val="nil"/>
              <w:bottom w:val="single" w:color="auto" w:sz="4" w:space="0"/>
              <w:right w:val="single" w:color="auto" w:sz="4" w:space="0"/>
            </w:tcBorders>
          </w:tcPr>
          <w:p w14:paraId="16F6DA4F">
            <w:pPr>
              <w:spacing w:line="580" w:lineRule="exact"/>
              <w:jc w:val="center"/>
              <w:rPr>
                <w:rFonts w:asciiTheme="minorEastAsia" w:hAnsiTheme="minorEastAsia" w:cstheme="minorEastAsia"/>
                <w:sz w:val="18"/>
                <w:szCs w:val="18"/>
              </w:rPr>
            </w:pPr>
          </w:p>
        </w:tc>
      </w:tr>
      <w:tr w14:paraId="6EE09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155" w:type="dxa"/>
            <w:vMerge w:val="continue"/>
            <w:tcBorders>
              <w:top w:val="nil"/>
              <w:left w:val="single" w:color="auto" w:sz="12" w:space="0"/>
              <w:bottom w:val="single" w:color="auto" w:sz="4" w:space="0"/>
              <w:right w:val="single" w:color="auto" w:sz="4" w:space="0"/>
            </w:tcBorders>
          </w:tcPr>
          <w:p w14:paraId="214CFF4C">
            <w:pPr>
              <w:spacing w:line="580" w:lineRule="exact"/>
              <w:rPr>
                <w:rFonts w:asciiTheme="minorEastAsia" w:hAnsiTheme="minorEastAsia" w:cstheme="minorEastAsia"/>
                <w:sz w:val="18"/>
                <w:szCs w:val="18"/>
              </w:rPr>
            </w:pPr>
          </w:p>
        </w:tc>
        <w:tc>
          <w:tcPr>
            <w:tcW w:w="1365" w:type="dxa"/>
            <w:tcBorders>
              <w:top w:val="single" w:color="auto" w:sz="4" w:space="0"/>
              <w:left w:val="nil"/>
              <w:bottom w:val="single" w:color="auto" w:sz="4" w:space="0"/>
              <w:right w:val="single" w:color="auto" w:sz="4" w:space="0"/>
            </w:tcBorders>
          </w:tcPr>
          <w:p w14:paraId="450C9D20">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第一节</w:t>
            </w:r>
          </w:p>
        </w:tc>
        <w:tc>
          <w:tcPr>
            <w:tcW w:w="3780" w:type="dxa"/>
            <w:tcBorders>
              <w:top w:val="single" w:color="auto" w:sz="4" w:space="0"/>
              <w:left w:val="nil"/>
              <w:bottom w:val="single" w:color="auto" w:sz="4" w:space="0"/>
              <w:right w:val="single" w:color="auto" w:sz="4" w:space="0"/>
            </w:tcBorders>
          </w:tcPr>
          <w:p w14:paraId="4EE12863">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金融市场概述</w:t>
            </w:r>
          </w:p>
        </w:tc>
        <w:tc>
          <w:tcPr>
            <w:tcW w:w="1080" w:type="dxa"/>
            <w:vMerge w:val="continue"/>
            <w:tcBorders>
              <w:top w:val="nil"/>
              <w:left w:val="nil"/>
              <w:bottom w:val="single" w:color="auto" w:sz="4" w:space="0"/>
              <w:right w:val="single" w:color="auto" w:sz="4" w:space="0"/>
            </w:tcBorders>
          </w:tcPr>
          <w:p w14:paraId="3F3C0394">
            <w:pPr>
              <w:spacing w:line="580" w:lineRule="exact"/>
              <w:rPr>
                <w:rFonts w:asciiTheme="minorEastAsia" w:hAnsiTheme="minorEastAsia" w:cstheme="minorEastAsia"/>
                <w:sz w:val="18"/>
                <w:szCs w:val="18"/>
              </w:rPr>
            </w:pPr>
          </w:p>
        </w:tc>
        <w:tc>
          <w:tcPr>
            <w:tcW w:w="596" w:type="dxa"/>
            <w:vMerge w:val="restart"/>
            <w:tcBorders>
              <w:top w:val="nil"/>
              <w:left w:val="nil"/>
              <w:bottom w:val="single" w:color="auto" w:sz="4" w:space="0"/>
              <w:right w:val="single" w:color="auto" w:sz="4" w:space="0"/>
            </w:tcBorders>
          </w:tcPr>
          <w:p w14:paraId="566F1967">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360" w:type="dxa"/>
            <w:vMerge w:val="continue"/>
            <w:tcBorders>
              <w:top w:val="nil"/>
              <w:left w:val="nil"/>
              <w:bottom w:val="single" w:color="auto" w:sz="4" w:space="0"/>
              <w:right w:val="single" w:color="auto" w:sz="4" w:space="0"/>
            </w:tcBorders>
          </w:tcPr>
          <w:p w14:paraId="0B0CC2C5">
            <w:pPr>
              <w:spacing w:line="580" w:lineRule="exact"/>
              <w:rPr>
                <w:rFonts w:asciiTheme="minorEastAsia" w:hAnsiTheme="minorEastAsia" w:cstheme="minorEastAsia"/>
                <w:sz w:val="18"/>
                <w:szCs w:val="18"/>
              </w:rPr>
            </w:pPr>
          </w:p>
        </w:tc>
        <w:tc>
          <w:tcPr>
            <w:tcW w:w="1260" w:type="dxa"/>
            <w:vMerge w:val="continue"/>
            <w:tcBorders>
              <w:top w:val="single" w:color="auto" w:sz="4" w:space="0"/>
              <w:left w:val="nil"/>
              <w:bottom w:val="single" w:color="auto" w:sz="4" w:space="0"/>
              <w:right w:val="single" w:color="auto" w:sz="4" w:space="0"/>
            </w:tcBorders>
          </w:tcPr>
          <w:p w14:paraId="0B5596E2">
            <w:pPr>
              <w:spacing w:line="580" w:lineRule="exact"/>
              <w:rPr>
                <w:rFonts w:asciiTheme="minorEastAsia" w:hAnsiTheme="minorEastAsia" w:cstheme="minorEastAsia"/>
                <w:sz w:val="18"/>
                <w:szCs w:val="18"/>
              </w:rPr>
            </w:pPr>
          </w:p>
        </w:tc>
      </w:tr>
      <w:tr w14:paraId="4885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155" w:type="dxa"/>
            <w:vMerge w:val="continue"/>
            <w:tcBorders>
              <w:top w:val="nil"/>
              <w:left w:val="single" w:color="auto" w:sz="12" w:space="0"/>
              <w:bottom w:val="single" w:color="auto" w:sz="4" w:space="0"/>
              <w:right w:val="single" w:color="auto" w:sz="4" w:space="0"/>
            </w:tcBorders>
          </w:tcPr>
          <w:p w14:paraId="4E456F9A">
            <w:pPr>
              <w:spacing w:line="580" w:lineRule="exact"/>
              <w:rPr>
                <w:rFonts w:asciiTheme="minorEastAsia" w:hAnsiTheme="minorEastAsia" w:cstheme="minorEastAsia"/>
                <w:sz w:val="18"/>
                <w:szCs w:val="18"/>
              </w:rPr>
            </w:pPr>
          </w:p>
        </w:tc>
        <w:tc>
          <w:tcPr>
            <w:tcW w:w="1365" w:type="dxa"/>
            <w:tcBorders>
              <w:top w:val="single" w:color="auto" w:sz="4" w:space="0"/>
              <w:left w:val="nil"/>
              <w:bottom w:val="single" w:color="auto" w:sz="4" w:space="0"/>
              <w:right w:val="single" w:color="auto" w:sz="4" w:space="0"/>
            </w:tcBorders>
          </w:tcPr>
          <w:p w14:paraId="1AC49FE4">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第二节</w:t>
            </w:r>
          </w:p>
        </w:tc>
        <w:tc>
          <w:tcPr>
            <w:tcW w:w="3780" w:type="dxa"/>
            <w:tcBorders>
              <w:top w:val="single" w:color="auto" w:sz="4" w:space="0"/>
              <w:left w:val="nil"/>
              <w:bottom w:val="single" w:color="auto" w:sz="4" w:space="0"/>
              <w:right w:val="single" w:color="auto" w:sz="4" w:space="0"/>
            </w:tcBorders>
          </w:tcPr>
          <w:p w14:paraId="2D8E0391">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货币市场</w:t>
            </w:r>
          </w:p>
        </w:tc>
        <w:tc>
          <w:tcPr>
            <w:tcW w:w="1080" w:type="dxa"/>
            <w:vMerge w:val="continue"/>
            <w:tcBorders>
              <w:top w:val="nil"/>
              <w:left w:val="nil"/>
              <w:bottom w:val="single" w:color="auto" w:sz="4" w:space="0"/>
              <w:right w:val="single" w:color="auto" w:sz="4" w:space="0"/>
            </w:tcBorders>
          </w:tcPr>
          <w:p w14:paraId="37C9B114">
            <w:pPr>
              <w:spacing w:line="580" w:lineRule="exact"/>
              <w:rPr>
                <w:rFonts w:asciiTheme="minorEastAsia" w:hAnsiTheme="minorEastAsia" w:cstheme="minorEastAsia"/>
                <w:sz w:val="18"/>
                <w:szCs w:val="18"/>
              </w:rPr>
            </w:pPr>
          </w:p>
        </w:tc>
        <w:tc>
          <w:tcPr>
            <w:tcW w:w="596" w:type="dxa"/>
            <w:vMerge w:val="continue"/>
            <w:tcBorders>
              <w:top w:val="nil"/>
              <w:left w:val="nil"/>
              <w:bottom w:val="single" w:color="auto" w:sz="4" w:space="0"/>
              <w:right w:val="single" w:color="auto" w:sz="4" w:space="0"/>
            </w:tcBorders>
          </w:tcPr>
          <w:p w14:paraId="5B17D824">
            <w:pPr>
              <w:spacing w:line="580" w:lineRule="exact"/>
              <w:rPr>
                <w:rFonts w:asciiTheme="minorEastAsia" w:hAnsiTheme="minorEastAsia" w:cstheme="minorEastAsia"/>
                <w:sz w:val="18"/>
                <w:szCs w:val="18"/>
              </w:rPr>
            </w:pPr>
          </w:p>
        </w:tc>
        <w:tc>
          <w:tcPr>
            <w:tcW w:w="360" w:type="dxa"/>
            <w:vMerge w:val="continue"/>
            <w:tcBorders>
              <w:top w:val="nil"/>
              <w:left w:val="nil"/>
              <w:bottom w:val="single" w:color="auto" w:sz="4" w:space="0"/>
              <w:right w:val="single" w:color="auto" w:sz="4" w:space="0"/>
            </w:tcBorders>
          </w:tcPr>
          <w:p w14:paraId="6871562D">
            <w:pPr>
              <w:spacing w:line="580" w:lineRule="exact"/>
              <w:rPr>
                <w:rFonts w:asciiTheme="minorEastAsia" w:hAnsiTheme="minorEastAsia" w:cstheme="minorEastAsia"/>
                <w:sz w:val="18"/>
                <w:szCs w:val="18"/>
              </w:rPr>
            </w:pPr>
          </w:p>
        </w:tc>
        <w:tc>
          <w:tcPr>
            <w:tcW w:w="1260" w:type="dxa"/>
            <w:vMerge w:val="restart"/>
            <w:tcBorders>
              <w:top w:val="single" w:color="auto" w:sz="4" w:space="0"/>
              <w:left w:val="nil"/>
              <w:bottom w:val="single" w:color="auto" w:sz="4" w:space="0"/>
              <w:right w:val="single" w:color="auto" w:sz="4" w:space="0"/>
            </w:tcBorders>
          </w:tcPr>
          <w:p w14:paraId="7A944A98">
            <w:pPr>
              <w:spacing w:line="58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章节课后习题案例</w:t>
            </w:r>
            <w:r>
              <w:rPr>
                <w:rFonts w:hint="eastAsia" w:asciiTheme="minorEastAsia" w:hAnsiTheme="minorEastAsia" w:cstheme="minorEastAsia"/>
                <w:sz w:val="18"/>
                <w:szCs w:val="18"/>
              </w:rPr>
              <w:t>讨论</w:t>
            </w:r>
          </w:p>
        </w:tc>
      </w:tr>
      <w:tr w14:paraId="52638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155" w:type="dxa"/>
            <w:vMerge w:val="continue"/>
            <w:tcBorders>
              <w:top w:val="nil"/>
              <w:left w:val="single" w:color="auto" w:sz="12" w:space="0"/>
              <w:bottom w:val="single" w:color="auto" w:sz="4" w:space="0"/>
              <w:right w:val="single" w:color="auto" w:sz="4" w:space="0"/>
            </w:tcBorders>
          </w:tcPr>
          <w:p w14:paraId="1FFE870F">
            <w:pPr>
              <w:spacing w:line="580" w:lineRule="exact"/>
              <w:rPr>
                <w:rFonts w:asciiTheme="minorEastAsia" w:hAnsiTheme="minorEastAsia" w:cstheme="minorEastAsia"/>
                <w:sz w:val="18"/>
                <w:szCs w:val="18"/>
              </w:rPr>
            </w:pPr>
          </w:p>
        </w:tc>
        <w:tc>
          <w:tcPr>
            <w:tcW w:w="1365" w:type="dxa"/>
            <w:tcBorders>
              <w:top w:val="single" w:color="auto" w:sz="4" w:space="0"/>
              <w:left w:val="nil"/>
              <w:bottom w:val="single" w:color="auto" w:sz="4" w:space="0"/>
              <w:right w:val="single" w:color="auto" w:sz="4" w:space="0"/>
            </w:tcBorders>
          </w:tcPr>
          <w:p w14:paraId="5B7FF8CF">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第三节</w:t>
            </w:r>
          </w:p>
        </w:tc>
        <w:tc>
          <w:tcPr>
            <w:tcW w:w="3780" w:type="dxa"/>
            <w:tcBorders>
              <w:top w:val="single" w:color="auto" w:sz="4" w:space="0"/>
              <w:left w:val="nil"/>
              <w:bottom w:val="single" w:color="auto" w:sz="4" w:space="0"/>
              <w:right w:val="single" w:color="auto" w:sz="4" w:space="0"/>
            </w:tcBorders>
          </w:tcPr>
          <w:p w14:paraId="099E9765">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资本市场</w:t>
            </w:r>
          </w:p>
        </w:tc>
        <w:tc>
          <w:tcPr>
            <w:tcW w:w="1080" w:type="dxa"/>
            <w:vMerge w:val="continue"/>
            <w:tcBorders>
              <w:top w:val="nil"/>
              <w:left w:val="nil"/>
              <w:bottom w:val="single" w:color="auto" w:sz="4" w:space="0"/>
              <w:right w:val="single" w:color="auto" w:sz="4" w:space="0"/>
            </w:tcBorders>
          </w:tcPr>
          <w:p w14:paraId="57088390">
            <w:pPr>
              <w:spacing w:line="580" w:lineRule="exact"/>
              <w:rPr>
                <w:rFonts w:asciiTheme="minorEastAsia" w:hAnsiTheme="minorEastAsia" w:cstheme="minorEastAsia"/>
                <w:sz w:val="18"/>
                <w:szCs w:val="18"/>
              </w:rPr>
            </w:pPr>
          </w:p>
        </w:tc>
        <w:tc>
          <w:tcPr>
            <w:tcW w:w="596" w:type="dxa"/>
            <w:vMerge w:val="restart"/>
            <w:tcBorders>
              <w:top w:val="nil"/>
              <w:left w:val="nil"/>
              <w:bottom w:val="single" w:color="auto" w:sz="4" w:space="0"/>
              <w:right w:val="single" w:color="auto" w:sz="4" w:space="0"/>
            </w:tcBorders>
          </w:tcPr>
          <w:p w14:paraId="57523347">
            <w:pPr>
              <w:spacing w:line="580" w:lineRule="exact"/>
              <w:ind w:firstLine="90" w:firstLineChars="50"/>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360" w:type="dxa"/>
            <w:vMerge w:val="continue"/>
            <w:tcBorders>
              <w:top w:val="nil"/>
              <w:left w:val="nil"/>
              <w:bottom w:val="single" w:color="auto" w:sz="4" w:space="0"/>
              <w:right w:val="single" w:color="auto" w:sz="4" w:space="0"/>
            </w:tcBorders>
          </w:tcPr>
          <w:p w14:paraId="4E03061C">
            <w:pPr>
              <w:spacing w:line="580" w:lineRule="exact"/>
              <w:rPr>
                <w:rFonts w:asciiTheme="minorEastAsia" w:hAnsiTheme="minorEastAsia" w:cstheme="minorEastAsia"/>
                <w:sz w:val="18"/>
                <w:szCs w:val="18"/>
              </w:rPr>
            </w:pPr>
          </w:p>
        </w:tc>
        <w:tc>
          <w:tcPr>
            <w:tcW w:w="1260" w:type="dxa"/>
            <w:vMerge w:val="continue"/>
            <w:tcBorders>
              <w:top w:val="single" w:color="auto" w:sz="4" w:space="0"/>
              <w:left w:val="nil"/>
              <w:bottom w:val="single" w:color="auto" w:sz="4" w:space="0"/>
              <w:right w:val="single" w:color="auto" w:sz="4" w:space="0"/>
            </w:tcBorders>
          </w:tcPr>
          <w:p w14:paraId="5B79FBF3">
            <w:pPr>
              <w:spacing w:line="580" w:lineRule="exact"/>
              <w:rPr>
                <w:rFonts w:asciiTheme="minorEastAsia" w:hAnsiTheme="minorEastAsia" w:cstheme="minorEastAsia"/>
                <w:sz w:val="18"/>
                <w:szCs w:val="18"/>
              </w:rPr>
            </w:pPr>
          </w:p>
        </w:tc>
      </w:tr>
      <w:tr w14:paraId="77E6C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1155" w:type="dxa"/>
            <w:vMerge w:val="continue"/>
            <w:tcBorders>
              <w:top w:val="nil"/>
              <w:left w:val="single" w:color="auto" w:sz="12" w:space="0"/>
              <w:bottom w:val="single" w:color="auto" w:sz="4" w:space="0"/>
              <w:right w:val="single" w:color="auto" w:sz="4" w:space="0"/>
            </w:tcBorders>
          </w:tcPr>
          <w:p w14:paraId="645AFFB5">
            <w:pPr>
              <w:spacing w:line="580" w:lineRule="exact"/>
              <w:rPr>
                <w:rFonts w:asciiTheme="minorEastAsia" w:hAnsiTheme="minorEastAsia" w:cstheme="minorEastAsia"/>
                <w:sz w:val="18"/>
                <w:szCs w:val="18"/>
              </w:rPr>
            </w:pPr>
          </w:p>
        </w:tc>
        <w:tc>
          <w:tcPr>
            <w:tcW w:w="1365" w:type="dxa"/>
            <w:tcBorders>
              <w:top w:val="single" w:color="auto" w:sz="4" w:space="0"/>
              <w:left w:val="nil"/>
              <w:bottom w:val="single" w:color="auto" w:sz="4" w:space="0"/>
              <w:right w:val="single" w:color="auto" w:sz="4" w:space="0"/>
            </w:tcBorders>
          </w:tcPr>
          <w:p w14:paraId="1539D96A">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第四节</w:t>
            </w:r>
          </w:p>
        </w:tc>
        <w:tc>
          <w:tcPr>
            <w:tcW w:w="3780" w:type="dxa"/>
            <w:tcBorders>
              <w:top w:val="single" w:color="auto" w:sz="4" w:space="0"/>
              <w:left w:val="nil"/>
              <w:bottom w:val="single" w:color="auto" w:sz="4" w:space="0"/>
              <w:right w:val="single" w:color="auto" w:sz="4" w:space="0"/>
            </w:tcBorders>
          </w:tcPr>
          <w:p w14:paraId="6D2C6148">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证券投资基金</w:t>
            </w:r>
          </w:p>
        </w:tc>
        <w:tc>
          <w:tcPr>
            <w:tcW w:w="1080" w:type="dxa"/>
            <w:vMerge w:val="continue"/>
            <w:tcBorders>
              <w:top w:val="nil"/>
              <w:left w:val="nil"/>
              <w:bottom w:val="single" w:color="auto" w:sz="4" w:space="0"/>
              <w:right w:val="single" w:color="auto" w:sz="4" w:space="0"/>
            </w:tcBorders>
          </w:tcPr>
          <w:p w14:paraId="12E1BDC0">
            <w:pPr>
              <w:spacing w:line="580" w:lineRule="exact"/>
              <w:rPr>
                <w:rFonts w:asciiTheme="minorEastAsia" w:hAnsiTheme="minorEastAsia" w:cstheme="minorEastAsia"/>
                <w:sz w:val="18"/>
                <w:szCs w:val="18"/>
              </w:rPr>
            </w:pPr>
          </w:p>
        </w:tc>
        <w:tc>
          <w:tcPr>
            <w:tcW w:w="596" w:type="dxa"/>
            <w:vMerge w:val="continue"/>
            <w:tcBorders>
              <w:top w:val="nil"/>
              <w:left w:val="nil"/>
              <w:bottom w:val="single" w:color="auto" w:sz="4" w:space="0"/>
              <w:right w:val="single" w:color="auto" w:sz="4" w:space="0"/>
            </w:tcBorders>
          </w:tcPr>
          <w:p w14:paraId="43D894A0">
            <w:pPr>
              <w:spacing w:line="580" w:lineRule="exact"/>
              <w:rPr>
                <w:rFonts w:asciiTheme="minorEastAsia" w:hAnsiTheme="minorEastAsia" w:cstheme="minorEastAsia"/>
                <w:sz w:val="18"/>
                <w:szCs w:val="18"/>
              </w:rPr>
            </w:pPr>
          </w:p>
        </w:tc>
        <w:tc>
          <w:tcPr>
            <w:tcW w:w="360" w:type="dxa"/>
            <w:vMerge w:val="continue"/>
            <w:tcBorders>
              <w:top w:val="nil"/>
              <w:left w:val="nil"/>
              <w:bottom w:val="single" w:color="auto" w:sz="4" w:space="0"/>
              <w:right w:val="single" w:color="auto" w:sz="4" w:space="0"/>
            </w:tcBorders>
          </w:tcPr>
          <w:p w14:paraId="4FBE4FA2">
            <w:pPr>
              <w:spacing w:line="580" w:lineRule="exact"/>
              <w:rPr>
                <w:rFonts w:asciiTheme="minorEastAsia" w:hAnsiTheme="minorEastAsia" w:cstheme="minorEastAsia"/>
                <w:sz w:val="18"/>
                <w:szCs w:val="18"/>
              </w:rPr>
            </w:pPr>
          </w:p>
        </w:tc>
        <w:tc>
          <w:tcPr>
            <w:tcW w:w="1260" w:type="dxa"/>
            <w:vMerge w:val="continue"/>
            <w:tcBorders>
              <w:top w:val="single" w:color="auto" w:sz="4" w:space="0"/>
              <w:left w:val="nil"/>
              <w:bottom w:val="single" w:color="auto" w:sz="4" w:space="0"/>
              <w:right w:val="single" w:color="auto" w:sz="4" w:space="0"/>
            </w:tcBorders>
          </w:tcPr>
          <w:p w14:paraId="75426987">
            <w:pPr>
              <w:spacing w:line="580" w:lineRule="exact"/>
              <w:rPr>
                <w:rFonts w:asciiTheme="minorEastAsia" w:hAnsiTheme="minorEastAsia" w:cstheme="minorEastAsia"/>
                <w:sz w:val="18"/>
                <w:szCs w:val="18"/>
              </w:rPr>
            </w:pPr>
          </w:p>
        </w:tc>
      </w:tr>
      <w:tr w14:paraId="4C47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155" w:type="dxa"/>
            <w:vMerge w:val="restart"/>
            <w:tcBorders>
              <w:top w:val="nil"/>
              <w:left w:val="single" w:color="auto" w:sz="12" w:space="0"/>
              <w:bottom w:val="single" w:color="auto" w:sz="4" w:space="0"/>
              <w:right w:val="single" w:color="auto" w:sz="4" w:space="0"/>
            </w:tcBorders>
            <w:vAlign w:val="center"/>
          </w:tcPr>
          <w:p w14:paraId="2C5AA9B6">
            <w:pPr>
              <w:spacing w:line="580" w:lineRule="exact"/>
              <w:ind w:firstLine="360" w:firstLineChars="200"/>
              <w:jc w:val="center"/>
              <w:rPr>
                <w:rFonts w:asciiTheme="minorEastAsia" w:hAnsiTheme="minorEastAsia" w:cstheme="minorEastAsia"/>
                <w:sz w:val="18"/>
                <w:szCs w:val="18"/>
              </w:rPr>
            </w:pPr>
          </w:p>
          <w:p w14:paraId="19AAF034">
            <w:pPr>
              <w:spacing w:line="580" w:lineRule="exact"/>
              <w:ind w:firstLine="360" w:firstLineChars="200"/>
              <w:jc w:val="center"/>
              <w:rPr>
                <w:rFonts w:asciiTheme="minorEastAsia" w:hAnsiTheme="minorEastAsia" w:cstheme="minorEastAsia"/>
                <w:sz w:val="18"/>
                <w:szCs w:val="18"/>
              </w:rPr>
            </w:pPr>
            <w:r>
              <w:rPr>
                <w:rFonts w:hint="eastAsia" w:asciiTheme="minorEastAsia" w:hAnsiTheme="minorEastAsia" w:cstheme="minorEastAsia"/>
                <w:sz w:val="18"/>
                <w:szCs w:val="18"/>
              </w:rPr>
              <w:t>14</w:t>
            </w:r>
          </w:p>
          <w:p w14:paraId="3B1444DB">
            <w:pPr>
              <w:spacing w:line="580" w:lineRule="exact"/>
              <w:ind w:firstLine="360" w:firstLineChars="200"/>
              <w:jc w:val="center"/>
              <w:rPr>
                <w:rFonts w:asciiTheme="minorEastAsia" w:hAnsiTheme="minorEastAsia" w:cstheme="minorEastAsia"/>
                <w:sz w:val="18"/>
                <w:szCs w:val="18"/>
              </w:rPr>
            </w:pPr>
            <w:r>
              <w:rPr>
                <w:rFonts w:hint="eastAsia" w:asciiTheme="minorEastAsia" w:hAnsiTheme="minorEastAsia" w:cstheme="minorEastAsia"/>
                <w:sz w:val="18"/>
                <w:szCs w:val="18"/>
              </w:rPr>
              <w:t>15</w:t>
            </w:r>
          </w:p>
          <w:p w14:paraId="522FD573">
            <w:pPr>
              <w:spacing w:line="580" w:lineRule="exact"/>
              <w:ind w:firstLine="360" w:firstLineChars="200"/>
              <w:jc w:val="center"/>
              <w:rPr>
                <w:rFonts w:asciiTheme="minorEastAsia" w:hAnsiTheme="minorEastAsia" w:cstheme="minorEastAsia"/>
                <w:sz w:val="18"/>
                <w:szCs w:val="18"/>
              </w:rPr>
            </w:pPr>
          </w:p>
        </w:tc>
        <w:tc>
          <w:tcPr>
            <w:tcW w:w="1365" w:type="dxa"/>
            <w:tcBorders>
              <w:top w:val="single" w:color="auto" w:sz="4" w:space="0"/>
              <w:left w:val="nil"/>
              <w:bottom w:val="single" w:color="auto" w:sz="4" w:space="0"/>
              <w:right w:val="single" w:color="auto" w:sz="4" w:space="0"/>
            </w:tcBorders>
          </w:tcPr>
          <w:p w14:paraId="4ACE0BB8">
            <w:pPr>
              <w:spacing w:line="580" w:lineRule="exact"/>
              <w:ind w:firstLine="180" w:firstLineChars="100"/>
              <w:rPr>
                <w:rFonts w:asciiTheme="minorEastAsia" w:hAnsiTheme="minorEastAsia" w:cstheme="minorEastAsia"/>
                <w:sz w:val="18"/>
                <w:szCs w:val="18"/>
              </w:rPr>
            </w:pPr>
            <w:r>
              <w:rPr>
                <w:rFonts w:hint="eastAsia" w:asciiTheme="minorEastAsia" w:hAnsiTheme="minorEastAsia" w:cstheme="minorEastAsia"/>
                <w:sz w:val="18"/>
                <w:szCs w:val="18"/>
              </w:rPr>
              <w:t>第七章</w:t>
            </w:r>
          </w:p>
        </w:tc>
        <w:tc>
          <w:tcPr>
            <w:tcW w:w="3780" w:type="dxa"/>
            <w:tcBorders>
              <w:top w:val="single" w:color="auto" w:sz="4" w:space="0"/>
              <w:left w:val="nil"/>
              <w:bottom w:val="single" w:color="auto" w:sz="4" w:space="0"/>
              <w:right w:val="single" w:color="auto" w:sz="4" w:space="0"/>
            </w:tcBorders>
          </w:tcPr>
          <w:p w14:paraId="051B8D38">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货币需求与供应</w:t>
            </w:r>
          </w:p>
        </w:tc>
        <w:tc>
          <w:tcPr>
            <w:tcW w:w="1080" w:type="dxa"/>
            <w:vMerge w:val="restart"/>
            <w:tcBorders>
              <w:top w:val="nil"/>
              <w:left w:val="nil"/>
              <w:bottom w:val="single" w:color="auto" w:sz="4" w:space="0"/>
              <w:right w:val="single" w:color="auto" w:sz="4" w:space="0"/>
            </w:tcBorders>
          </w:tcPr>
          <w:p w14:paraId="45F82C52">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理论讲授案例讨论</w:t>
            </w:r>
          </w:p>
          <w:p w14:paraId="1AB25D65">
            <w:pPr>
              <w:spacing w:line="580" w:lineRule="exact"/>
              <w:rPr>
                <w:rFonts w:asciiTheme="minorEastAsia" w:hAnsiTheme="minorEastAsia" w:cstheme="minorEastAsia"/>
                <w:sz w:val="18"/>
                <w:szCs w:val="18"/>
              </w:rPr>
            </w:pPr>
          </w:p>
          <w:p w14:paraId="1E73DAC9">
            <w:pPr>
              <w:spacing w:line="580" w:lineRule="exact"/>
              <w:rPr>
                <w:rFonts w:asciiTheme="minorEastAsia" w:hAnsiTheme="minorEastAsia" w:cstheme="minorEastAsia"/>
                <w:sz w:val="18"/>
                <w:szCs w:val="18"/>
              </w:rPr>
            </w:pPr>
          </w:p>
          <w:p w14:paraId="0AF1FADD">
            <w:pPr>
              <w:spacing w:line="580" w:lineRule="exact"/>
              <w:rPr>
                <w:rFonts w:asciiTheme="minorEastAsia" w:hAnsiTheme="minorEastAsia" w:cstheme="minorEastAsia"/>
                <w:sz w:val="18"/>
                <w:szCs w:val="18"/>
              </w:rPr>
            </w:pPr>
          </w:p>
        </w:tc>
        <w:tc>
          <w:tcPr>
            <w:tcW w:w="596" w:type="dxa"/>
            <w:tcBorders>
              <w:top w:val="single" w:color="auto" w:sz="4" w:space="0"/>
              <w:left w:val="nil"/>
              <w:bottom w:val="single" w:color="auto" w:sz="4" w:space="0"/>
              <w:right w:val="single" w:color="auto" w:sz="4" w:space="0"/>
            </w:tcBorders>
          </w:tcPr>
          <w:p w14:paraId="0E802CEE">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4</w:t>
            </w:r>
          </w:p>
        </w:tc>
        <w:tc>
          <w:tcPr>
            <w:tcW w:w="360" w:type="dxa"/>
            <w:vMerge w:val="restart"/>
            <w:tcBorders>
              <w:top w:val="nil"/>
              <w:left w:val="nil"/>
              <w:bottom w:val="single" w:color="auto" w:sz="4" w:space="0"/>
              <w:right w:val="single" w:color="auto" w:sz="4" w:space="0"/>
            </w:tcBorders>
          </w:tcPr>
          <w:p w14:paraId="487DDD78">
            <w:pPr>
              <w:spacing w:line="580" w:lineRule="exact"/>
              <w:jc w:val="center"/>
              <w:rPr>
                <w:rFonts w:asciiTheme="minorEastAsia" w:hAnsiTheme="minorEastAsia" w:cstheme="minorEastAsia"/>
                <w:sz w:val="18"/>
                <w:szCs w:val="18"/>
              </w:rPr>
            </w:pPr>
          </w:p>
          <w:p w14:paraId="7999F27B">
            <w:pPr>
              <w:spacing w:line="580" w:lineRule="exact"/>
              <w:jc w:val="center"/>
              <w:rPr>
                <w:rFonts w:asciiTheme="minorEastAsia" w:hAnsiTheme="minorEastAsia" w:cstheme="minorEastAsia"/>
                <w:sz w:val="18"/>
                <w:szCs w:val="18"/>
              </w:rPr>
            </w:pPr>
          </w:p>
          <w:p w14:paraId="159CDA40">
            <w:pPr>
              <w:spacing w:line="580" w:lineRule="exact"/>
              <w:jc w:val="center"/>
              <w:rPr>
                <w:rFonts w:asciiTheme="minorEastAsia" w:hAnsiTheme="minorEastAsia" w:cstheme="minorEastAsia"/>
                <w:sz w:val="18"/>
                <w:szCs w:val="18"/>
              </w:rPr>
            </w:pPr>
          </w:p>
          <w:p w14:paraId="56D4D749">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4</w:t>
            </w:r>
          </w:p>
        </w:tc>
        <w:tc>
          <w:tcPr>
            <w:tcW w:w="1260" w:type="dxa"/>
            <w:vMerge w:val="restart"/>
            <w:tcBorders>
              <w:top w:val="nil"/>
              <w:left w:val="nil"/>
              <w:bottom w:val="single" w:color="auto" w:sz="4" w:space="0"/>
              <w:right w:val="single" w:color="auto" w:sz="4" w:space="0"/>
            </w:tcBorders>
          </w:tcPr>
          <w:p w14:paraId="3B3F1BC2">
            <w:pPr>
              <w:spacing w:line="580" w:lineRule="exact"/>
              <w:jc w:val="center"/>
              <w:rPr>
                <w:rFonts w:asciiTheme="minorEastAsia" w:hAnsiTheme="minorEastAsia" w:cstheme="minorEastAsia"/>
                <w:color w:val="000000"/>
                <w:sz w:val="18"/>
                <w:szCs w:val="18"/>
              </w:rPr>
            </w:pPr>
          </w:p>
          <w:p w14:paraId="570EB3C5">
            <w:pPr>
              <w:spacing w:line="580" w:lineRule="exact"/>
              <w:ind w:left="105" w:leftChars="50"/>
              <w:rPr>
                <w:rFonts w:asciiTheme="minorEastAsia" w:hAnsiTheme="minorEastAsia" w:cstheme="minorEastAsia"/>
                <w:sz w:val="18"/>
                <w:szCs w:val="18"/>
              </w:rPr>
            </w:pPr>
            <w:r>
              <w:rPr>
                <w:rFonts w:hint="eastAsia" w:asciiTheme="minorEastAsia" w:hAnsiTheme="minorEastAsia" w:cstheme="minorEastAsia"/>
                <w:color w:val="000000"/>
                <w:sz w:val="18"/>
                <w:szCs w:val="18"/>
              </w:rPr>
              <w:t>章节课后习题案例</w:t>
            </w:r>
            <w:r>
              <w:rPr>
                <w:rFonts w:hint="eastAsia" w:asciiTheme="minorEastAsia" w:hAnsiTheme="minorEastAsia" w:cstheme="minorEastAsia"/>
                <w:sz w:val="18"/>
                <w:szCs w:val="18"/>
              </w:rPr>
              <w:t>讨论</w:t>
            </w:r>
          </w:p>
        </w:tc>
      </w:tr>
      <w:tr w14:paraId="09F7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155" w:type="dxa"/>
            <w:vMerge w:val="continue"/>
            <w:tcBorders>
              <w:top w:val="nil"/>
              <w:left w:val="single" w:color="auto" w:sz="12" w:space="0"/>
              <w:bottom w:val="single" w:color="auto" w:sz="4" w:space="0"/>
              <w:right w:val="single" w:color="auto" w:sz="4" w:space="0"/>
            </w:tcBorders>
            <w:vAlign w:val="center"/>
          </w:tcPr>
          <w:p w14:paraId="0047F28D">
            <w:pPr>
              <w:spacing w:line="580" w:lineRule="exact"/>
              <w:rPr>
                <w:rFonts w:asciiTheme="minorEastAsia" w:hAnsiTheme="minorEastAsia" w:cstheme="minorEastAsia"/>
                <w:sz w:val="18"/>
                <w:szCs w:val="18"/>
              </w:rPr>
            </w:pPr>
          </w:p>
        </w:tc>
        <w:tc>
          <w:tcPr>
            <w:tcW w:w="1365" w:type="dxa"/>
            <w:tcBorders>
              <w:top w:val="single" w:color="auto" w:sz="4" w:space="0"/>
              <w:left w:val="nil"/>
              <w:bottom w:val="single" w:color="auto" w:sz="4" w:space="0"/>
              <w:right w:val="single" w:color="auto" w:sz="4" w:space="0"/>
            </w:tcBorders>
          </w:tcPr>
          <w:p w14:paraId="1D1A8368">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第一节</w:t>
            </w:r>
          </w:p>
        </w:tc>
        <w:tc>
          <w:tcPr>
            <w:tcW w:w="3780" w:type="dxa"/>
            <w:tcBorders>
              <w:top w:val="single" w:color="auto" w:sz="4" w:space="0"/>
              <w:left w:val="nil"/>
              <w:bottom w:val="single" w:color="auto" w:sz="4" w:space="0"/>
              <w:right w:val="single" w:color="auto" w:sz="4" w:space="0"/>
            </w:tcBorders>
          </w:tcPr>
          <w:p w14:paraId="39904046">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货币需求</w:t>
            </w:r>
          </w:p>
        </w:tc>
        <w:tc>
          <w:tcPr>
            <w:tcW w:w="1080" w:type="dxa"/>
            <w:vMerge w:val="continue"/>
            <w:tcBorders>
              <w:top w:val="nil"/>
              <w:left w:val="nil"/>
              <w:bottom w:val="single" w:color="auto" w:sz="4" w:space="0"/>
              <w:right w:val="single" w:color="auto" w:sz="4" w:space="0"/>
            </w:tcBorders>
          </w:tcPr>
          <w:p w14:paraId="24977651">
            <w:pPr>
              <w:spacing w:line="580" w:lineRule="exact"/>
              <w:rPr>
                <w:rFonts w:asciiTheme="minorEastAsia" w:hAnsiTheme="minorEastAsia" w:cstheme="minorEastAsia"/>
                <w:sz w:val="18"/>
                <w:szCs w:val="18"/>
              </w:rPr>
            </w:pPr>
          </w:p>
        </w:tc>
        <w:tc>
          <w:tcPr>
            <w:tcW w:w="596" w:type="dxa"/>
            <w:vMerge w:val="restart"/>
            <w:tcBorders>
              <w:top w:val="nil"/>
              <w:left w:val="nil"/>
              <w:bottom w:val="single" w:color="auto" w:sz="4" w:space="0"/>
              <w:right w:val="single" w:color="auto" w:sz="4" w:space="0"/>
            </w:tcBorders>
          </w:tcPr>
          <w:p w14:paraId="2050277D">
            <w:pPr>
              <w:spacing w:line="580" w:lineRule="exact"/>
              <w:ind w:firstLine="90" w:firstLineChars="50"/>
              <w:rPr>
                <w:rFonts w:asciiTheme="minorEastAsia" w:hAnsiTheme="minorEastAsia" w:cstheme="minorEastAsia"/>
                <w:sz w:val="18"/>
                <w:szCs w:val="18"/>
              </w:rPr>
            </w:pPr>
          </w:p>
          <w:p w14:paraId="7ABBD489">
            <w:pPr>
              <w:spacing w:line="580" w:lineRule="exact"/>
              <w:ind w:firstLine="90" w:firstLineChars="50"/>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360" w:type="dxa"/>
            <w:vMerge w:val="continue"/>
            <w:tcBorders>
              <w:top w:val="nil"/>
              <w:left w:val="nil"/>
              <w:bottom w:val="single" w:color="auto" w:sz="4" w:space="0"/>
              <w:right w:val="single" w:color="auto" w:sz="4" w:space="0"/>
            </w:tcBorders>
          </w:tcPr>
          <w:p w14:paraId="1EDD7DAC">
            <w:pPr>
              <w:spacing w:line="580" w:lineRule="exact"/>
              <w:rPr>
                <w:rFonts w:asciiTheme="minorEastAsia" w:hAnsiTheme="minorEastAsia" w:cstheme="minorEastAsia"/>
                <w:sz w:val="18"/>
                <w:szCs w:val="18"/>
              </w:rPr>
            </w:pPr>
          </w:p>
        </w:tc>
        <w:tc>
          <w:tcPr>
            <w:tcW w:w="1260" w:type="dxa"/>
            <w:vMerge w:val="continue"/>
            <w:tcBorders>
              <w:top w:val="nil"/>
              <w:left w:val="nil"/>
              <w:bottom w:val="single" w:color="auto" w:sz="4" w:space="0"/>
              <w:right w:val="single" w:color="auto" w:sz="4" w:space="0"/>
            </w:tcBorders>
          </w:tcPr>
          <w:p w14:paraId="3495AF83">
            <w:pPr>
              <w:spacing w:line="580" w:lineRule="exact"/>
              <w:rPr>
                <w:rFonts w:asciiTheme="minorEastAsia" w:hAnsiTheme="minorEastAsia" w:cstheme="minorEastAsia"/>
                <w:sz w:val="18"/>
                <w:szCs w:val="18"/>
              </w:rPr>
            </w:pPr>
          </w:p>
        </w:tc>
      </w:tr>
      <w:tr w14:paraId="78FA1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1155" w:type="dxa"/>
            <w:vMerge w:val="continue"/>
            <w:tcBorders>
              <w:top w:val="nil"/>
              <w:left w:val="single" w:color="auto" w:sz="12" w:space="0"/>
              <w:bottom w:val="single" w:color="auto" w:sz="4" w:space="0"/>
              <w:right w:val="single" w:color="auto" w:sz="4" w:space="0"/>
            </w:tcBorders>
            <w:vAlign w:val="center"/>
          </w:tcPr>
          <w:p w14:paraId="40982821">
            <w:pPr>
              <w:spacing w:line="580" w:lineRule="exact"/>
              <w:rPr>
                <w:rFonts w:asciiTheme="minorEastAsia" w:hAnsiTheme="minorEastAsia" w:cstheme="minorEastAsia"/>
                <w:sz w:val="18"/>
                <w:szCs w:val="18"/>
              </w:rPr>
            </w:pPr>
          </w:p>
        </w:tc>
        <w:tc>
          <w:tcPr>
            <w:tcW w:w="1365" w:type="dxa"/>
            <w:tcBorders>
              <w:top w:val="single" w:color="auto" w:sz="4" w:space="0"/>
              <w:left w:val="nil"/>
              <w:bottom w:val="single" w:color="auto" w:sz="4" w:space="0"/>
              <w:right w:val="single" w:color="auto" w:sz="4" w:space="0"/>
            </w:tcBorders>
          </w:tcPr>
          <w:p w14:paraId="44523A56">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第二节</w:t>
            </w:r>
          </w:p>
        </w:tc>
        <w:tc>
          <w:tcPr>
            <w:tcW w:w="3780" w:type="dxa"/>
            <w:tcBorders>
              <w:top w:val="single" w:color="auto" w:sz="4" w:space="0"/>
              <w:left w:val="nil"/>
              <w:bottom w:val="single" w:color="auto" w:sz="4" w:space="0"/>
              <w:right w:val="single" w:color="auto" w:sz="4" w:space="0"/>
            </w:tcBorders>
          </w:tcPr>
          <w:p w14:paraId="4551E522">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货币供应</w:t>
            </w:r>
          </w:p>
        </w:tc>
        <w:tc>
          <w:tcPr>
            <w:tcW w:w="1080" w:type="dxa"/>
            <w:vMerge w:val="continue"/>
            <w:tcBorders>
              <w:top w:val="nil"/>
              <w:left w:val="nil"/>
              <w:bottom w:val="single" w:color="auto" w:sz="4" w:space="0"/>
              <w:right w:val="single" w:color="auto" w:sz="4" w:space="0"/>
            </w:tcBorders>
          </w:tcPr>
          <w:p w14:paraId="6EBBED1B">
            <w:pPr>
              <w:spacing w:line="580" w:lineRule="exact"/>
              <w:rPr>
                <w:rFonts w:asciiTheme="minorEastAsia" w:hAnsiTheme="minorEastAsia" w:cstheme="minorEastAsia"/>
                <w:sz w:val="18"/>
                <w:szCs w:val="18"/>
              </w:rPr>
            </w:pPr>
          </w:p>
        </w:tc>
        <w:tc>
          <w:tcPr>
            <w:tcW w:w="596" w:type="dxa"/>
            <w:vMerge w:val="continue"/>
            <w:tcBorders>
              <w:top w:val="nil"/>
              <w:left w:val="nil"/>
              <w:bottom w:val="single" w:color="auto" w:sz="4" w:space="0"/>
              <w:right w:val="single" w:color="auto" w:sz="4" w:space="0"/>
            </w:tcBorders>
          </w:tcPr>
          <w:p w14:paraId="017AC588">
            <w:pPr>
              <w:spacing w:line="580" w:lineRule="exact"/>
              <w:rPr>
                <w:rFonts w:asciiTheme="minorEastAsia" w:hAnsiTheme="minorEastAsia" w:cstheme="minorEastAsia"/>
                <w:sz w:val="18"/>
                <w:szCs w:val="18"/>
              </w:rPr>
            </w:pPr>
          </w:p>
        </w:tc>
        <w:tc>
          <w:tcPr>
            <w:tcW w:w="360" w:type="dxa"/>
            <w:vMerge w:val="continue"/>
            <w:tcBorders>
              <w:top w:val="nil"/>
              <w:left w:val="nil"/>
              <w:bottom w:val="single" w:color="auto" w:sz="4" w:space="0"/>
              <w:right w:val="single" w:color="auto" w:sz="4" w:space="0"/>
            </w:tcBorders>
          </w:tcPr>
          <w:p w14:paraId="6120650A">
            <w:pPr>
              <w:spacing w:line="580" w:lineRule="exact"/>
              <w:rPr>
                <w:rFonts w:asciiTheme="minorEastAsia" w:hAnsiTheme="minorEastAsia" w:cstheme="minorEastAsia"/>
                <w:sz w:val="18"/>
                <w:szCs w:val="18"/>
              </w:rPr>
            </w:pPr>
          </w:p>
        </w:tc>
        <w:tc>
          <w:tcPr>
            <w:tcW w:w="1260" w:type="dxa"/>
            <w:vMerge w:val="continue"/>
            <w:tcBorders>
              <w:top w:val="nil"/>
              <w:left w:val="nil"/>
              <w:bottom w:val="single" w:color="auto" w:sz="4" w:space="0"/>
              <w:right w:val="single" w:color="auto" w:sz="4" w:space="0"/>
            </w:tcBorders>
          </w:tcPr>
          <w:p w14:paraId="2DAE074E">
            <w:pPr>
              <w:spacing w:line="580" w:lineRule="exact"/>
              <w:rPr>
                <w:rFonts w:asciiTheme="minorEastAsia" w:hAnsiTheme="minorEastAsia" w:cstheme="minorEastAsia"/>
                <w:sz w:val="18"/>
                <w:szCs w:val="18"/>
              </w:rPr>
            </w:pPr>
          </w:p>
        </w:tc>
      </w:tr>
      <w:tr w14:paraId="3167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155" w:type="dxa"/>
            <w:vMerge w:val="continue"/>
            <w:tcBorders>
              <w:top w:val="nil"/>
              <w:left w:val="single" w:color="auto" w:sz="12" w:space="0"/>
              <w:bottom w:val="single" w:color="auto" w:sz="4" w:space="0"/>
              <w:right w:val="single" w:color="auto" w:sz="4" w:space="0"/>
            </w:tcBorders>
            <w:vAlign w:val="center"/>
          </w:tcPr>
          <w:p w14:paraId="02F39028">
            <w:pPr>
              <w:spacing w:line="580" w:lineRule="exact"/>
              <w:rPr>
                <w:rFonts w:asciiTheme="minorEastAsia" w:hAnsiTheme="minorEastAsia" w:cstheme="minorEastAsia"/>
                <w:sz w:val="18"/>
                <w:szCs w:val="18"/>
              </w:rPr>
            </w:pPr>
          </w:p>
        </w:tc>
        <w:tc>
          <w:tcPr>
            <w:tcW w:w="1365" w:type="dxa"/>
            <w:tcBorders>
              <w:top w:val="single" w:color="auto" w:sz="4" w:space="0"/>
              <w:left w:val="nil"/>
              <w:bottom w:val="single" w:color="auto" w:sz="4" w:space="0"/>
              <w:right w:val="single" w:color="auto" w:sz="4" w:space="0"/>
            </w:tcBorders>
          </w:tcPr>
          <w:p w14:paraId="183131C8">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第三节</w:t>
            </w:r>
          </w:p>
        </w:tc>
        <w:tc>
          <w:tcPr>
            <w:tcW w:w="3780" w:type="dxa"/>
            <w:tcBorders>
              <w:top w:val="single" w:color="auto" w:sz="4" w:space="0"/>
              <w:left w:val="nil"/>
              <w:bottom w:val="single" w:color="auto" w:sz="4" w:space="0"/>
              <w:right w:val="single" w:color="auto" w:sz="4" w:space="0"/>
            </w:tcBorders>
          </w:tcPr>
          <w:p w14:paraId="666DCF53">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货币均衡</w:t>
            </w:r>
          </w:p>
        </w:tc>
        <w:tc>
          <w:tcPr>
            <w:tcW w:w="1080" w:type="dxa"/>
            <w:vMerge w:val="continue"/>
            <w:tcBorders>
              <w:top w:val="nil"/>
              <w:left w:val="nil"/>
              <w:bottom w:val="single" w:color="auto" w:sz="4" w:space="0"/>
              <w:right w:val="single" w:color="auto" w:sz="4" w:space="0"/>
            </w:tcBorders>
          </w:tcPr>
          <w:p w14:paraId="0E077B67">
            <w:pPr>
              <w:spacing w:line="580" w:lineRule="exact"/>
              <w:rPr>
                <w:rFonts w:asciiTheme="minorEastAsia" w:hAnsiTheme="minorEastAsia" w:cstheme="minorEastAsia"/>
                <w:sz w:val="18"/>
                <w:szCs w:val="18"/>
              </w:rPr>
            </w:pPr>
          </w:p>
        </w:tc>
        <w:tc>
          <w:tcPr>
            <w:tcW w:w="596" w:type="dxa"/>
            <w:vMerge w:val="restart"/>
            <w:tcBorders>
              <w:top w:val="nil"/>
              <w:left w:val="nil"/>
              <w:bottom w:val="single" w:color="auto" w:sz="4" w:space="0"/>
              <w:right w:val="single" w:color="auto" w:sz="4" w:space="0"/>
            </w:tcBorders>
          </w:tcPr>
          <w:p w14:paraId="3D824009">
            <w:pPr>
              <w:spacing w:line="580" w:lineRule="exact"/>
              <w:ind w:firstLine="90" w:firstLineChars="50"/>
              <w:rPr>
                <w:rFonts w:asciiTheme="minorEastAsia" w:hAnsiTheme="minorEastAsia" w:cstheme="minorEastAsia"/>
                <w:sz w:val="18"/>
                <w:szCs w:val="18"/>
              </w:rPr>
            </w:pPr>
          </w:p>
          <w:p w14:paraId="4199CF60">
            <w:pPr>
              <w:spacing w:line="580" w:lineRule="exact"/>
              <w:ind w:firstLine="90" w:firstLineChars="50"/>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360" w:type="dxa"/>
            <w:vMerge w:val="continue"/>
            <w:tcBorders>
              <w:top w:val="nil"/>
              <w:left w:val="nil"/>
              <w:bottom w:val="single" w:color="auto" w:sz="4" w:space="0"/>
              <w:right w:val="single" w:color="auto" w:sz="4" w:space="0"/>
            </w:tcBorders>
          </w:tcPr>
          <w:p w14:paraId="47F443A2">
            <w:pPr>
              <w:spacing w:line="580" w:lineRule="exact"/>
              <w:rPr>
                <w:rFonts w:asciiTheme="minorEastAsia" w:hAnsiTheme="minorEastAsia" w:cstheme="minorEastAsia"/>
                <w:sz w:val="18"/>
                <w:szCs w:val="18"/>
              </w:rPr>
            </w:pPr>
          </w:p>
        </w:tc>
        <w:tc>
          <w:tcPr>
            <w:tcW w:w="1260" w:type="dxa"/>
            <w:vMerge w:val="continue"/>
            <w:tcBorders>
              <w:top w:val="nil"/>
              <w:left w:val="nil"/>
              <w:bottom w:val="single" w:color="auto" w:sz="4" w:space="0"/>
              <w:right w:val="single" w:color="auto" w:sz="4" w:space="0"/>
            </w:tcBorders>
          </w:tcPr>
          <w:p w14:paraId="55FFD694">
            <w:pPr>
              <w:spacing w:line="580" w:lineRule="exact"/>
              <w:rPr>
                <w:rFonts w:asciiTheme="minorEastAsia" w:hAnsiTheme="minorEastAsia" w:cstheme="minorEastAsia"/>
                <w:sz w:val="18"/>
                <w:szCs w:val="18"/>
              </w:rPr>
            </w:pPr>
          </w:p>
        </w:tc>
      </w:tr>
      <w:tr w14:paraId="5117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1155" w:type="dxa"/>
            <w:vMerge w:val="continue"/>
            <w:tcBorders>
              <w:top w:val="nil"/>
              <w:left w:val="single" w:color="auto" w:sz="12" w:space="0"/>
              <w:bottom w:val="single" w:color="auto" w:sz="4" w:space="0"/>
              <w:right w:val="single" w:color="auto" w:sz="4" w:space="0"/>
            </w:tcBorders>
            <w:vAlign w:val="center"/>
          </w:tcPr>
          <w:p w14:paraId="73AB559B">
            <w:pPr>
              <w:spacing w:line="580" w:lineRule="exact"/>
              <w:rPr>
                <w:rFonts w:asciiTheme="minorEastAsia" w:hAnsiTheme="minorEastAsia" w:cstheme="minorEastAsia"/>
                <w:sz w:val="18"/>
                <w:szCs w:val="18"/>
              </w:rPr>
            </w:pPr>
          </w:p>
        </w:tc>
        <w:tc>
          <w:tcPr>
            <w:tcW w:w="1365" w:type="dxa"/>
            <w:tcBorders>
              <w:top w:val="single" w:color="auto" w:sz="4" w:space="0"/>
              <w:left w:val="nil"/>
              <w:bottom w:val="single" w:color="auto" w:sz="4" w:space="0"/>
              <w:right w:val="single" w:color="auto" w:sz="4" w:space="0"/>
            </w:tcBorders>
          </w:tcPr>
          <w:p w14:paraId="1EF086AA">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第四节</w:t>
            </w:r>
          </w:p>
        </w:tc>
        <w:tc>
          <w:tcPr>
            <w:tcW w:w="3780" w:type="dxa"/>
            <w:tcBorders>
              <w:top w:val="single" w:color="auto" w:sz="4" w:space="0"/>
              <w:left w:val="nil"/>
              <w:bottom w:val="single" w:color="auto" w:sz="4" w:space="0"/>
              <w:right w:val="single" w:color="auto" w:sz="4" w:space="0"/>
            </w:tcBorders>
          </w:tcPr>
          <w:p w14:paraId="2DF815A4">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通货膨胀与通货紧缩</w:t>
            </w:r>
          </w:p>
        </w:tc>
        <w:tc>
          <w:tcPr>
            <w:tcW w:w="1080" w:type="dxa"/>
            <w:vMerge w:val="continue"/>
            <w:tcBorders>
              <w:top w:val="nil"/>
              <w:left w:val="nil"/>
              <w:bottom w:val="single" w:color="auto" w:sz="4" w:space="0"/>
              <w:right w:val="single" w:color="auto" w:sz="4" w:space="0"/>
            </w:tcBorders>
          </w:tcPr>
          <w:p w14:paraId="67C25C03">
            <w:pPr>
              <w:spacing w:line="580" w:lineRule="exact"/>
              <w:rPr>
                <w:rFonts w:asciiTheme="minorEastAsia" w:hAnsiTheme="minorEastAsia" w:cstheme="minorEastAsia"/>
                <w:sz w:val="18"/>
                <w:szCs w:val="18"/>
              </w:rPr>
            </w:pPr>
          </w:p>
        </w:tc>
        <w:tc>
          <w:tcPr>
            <w:tcW w:w="596" w:type="dxa"/>
            <w:vMerge w:val="continue"/>
            <w:tcBorders>
              <w:top w:val="nil"/>
              <w:left w:val="nil"/>
              <w:bottom w:val="single" w:color="auto" w:sz="4" w:space="0"/>
              <w:right w:val="single" w:color="auto" w:sz="4" w:space="0"/>
            </w:tcBorders>
          </w:tcPr>
          <w:p w14:paraId="1A88EF3D">
            <w:pPr>
              <w:spacing w:line="580" w:lineRule="exact"/>
              <w:rPr>
                <w:rFonts w:asciiTheme="minorEastAsia" w:hAnsiTheme="minorEastAsia" w:cstheme="minorEastAsia"/>
                <w:sz w:val="18"/>
                <w:szCs w:val="18"/>
              </w:rPr>
            </w:pPr>
          </w:p>
        </w:tc>
        <w:tc>
          <w:tcPr>
            <w:tcW w:w="360" w:type="dxa"/>
            <w:vMerge w:val="continue"/>
            <w:tcBorders>
              <w:top w:val="nil"/>
              <w:left w:val="nil"/>
              <w:bottom w:val="single" w:color="auto" w:sz="4" w:space="0"/>
              <w:right w:val="single" w:color="auto" w:sz="4" w:space="0"/>
            </w:tcBorders>
          </w:tcPr>
          <w:p w14:paraId="32FE8238">
            <w:pPr>
              <w:spacing w:line="580" w:lineRule="exact"/>
              <w:rPr>
                <w:rFonts w:asciiTheme="minorEastAsia" w:hAnsiTheme="minorEastAsia" w:cstheme="minorEastAsia"/>
                <w:sz w:val="18"/>
                <w:szCs w:val="18"/>
              </w:rPr>
            </w:pPr>
          </w:p>
        </w:tc>
        <w:tc>
          <w:tcPr>
            <w:tcW w:w="1260" w:type="dxa"/>
            <w:vMerge w:val="continue"/>
            <w:tcBorders>
              <w:top w:val="nil"/>
              <w:left w:val="nil"/>
              <w:bottom w:val="single" w:color="auto" w:sz="4" w:space="0"/>
              <w:right w:val="single" w:color="auto" w:sz="4" w:space="0"/>
            </w:tcBorders>
          </w:tcPr>
          <w:p w14:paraId="73980D07">
            <w:pPr>
              <w:spacing w:line="580" w:lineRule="exact"/>
              <w:rPr>
                <w:rFonts w:asciiTheme="minorEastAsia" w:hAnsiTheme="minorEastAsia" w:cstheme="minorEastAsia"/>
                <w:sz w:val="18"/>
                <w:szCs w:val="18"/>
              </w:rPr>
            </w:pPr>
          </w:p>
        </w:tc>
      </w:tr>
      <w:tr w14:paraId="665F5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155" w:type="dxa"/>
            <w:vMerge w:val="restart"/>
            <w:tcBorders>
              <w:top w:val="nil"/>
              <w:left w:val="single" w:color="auto" w:sz="12" w:space="0"/>
              <w:bottom w:val="single" w:color="auto" w:sz="4" w:space="0"/>
              <w:right w:val="single" w:color="auto" w:sz="4" w:space="0"/>
            </w:tcBorders>
          </w:tcPr>
          <w:p w14:paraId="39D7F201">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 xml:space="preserve"> 16</w:t>
            </w:r>
          </w:p>
          <w:p w14:paraId="3472C6CA">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 xml:space="preserve"> 17</w:t>
            </w:r>
          </w:p>
        </w:tc>
        <w:tc>
          <w:tcPr>
            <w:tcW w:w="1365" w:type="dxa"/>
            <w:tcBorders>
              <w:top w:val="single" w:color="auto" w:sz="4" w:space="0"/>
              <w:left w:val="nil"/>
              <w:bottom w:val="single" w:color="auto" w:sz="4" w:space="0"/>
              <w:right w:val="single" w:color="auto" w:sz="4" w:space="0"/>
            </w:tcBorders>
          </w:tcPr>
          <w:p w14:paraId="24175A8A">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第九章</w:t>
            </w:r>
          </w:p>
        </w:tc>
        <w:tc>
          <w:tcPr>
            <w:tcW w:w="3780" w:type="dxa"/>
            <w:tcBorders>
              <w:top w:val="single" w:color="auto" w:sz="4" w:space="0"/>
              <w:left w:val="nil"/>
              <w:bottom w:val="single" w:color="auto" w:sz="4" w:space="0"/>
              <w:right w:val="single" w:color="auto" w:sz="4" w:space="0"/>
            </w:tcBorders>
          </w:tcPr>
          <w:p w14:paraId="454A461E">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货币政策概述</w:t>
            </w:r>
          </w:p>
        </w:tc>
        <w:tc>
          <w:tcPr>
            <w:tcW w:w="1080" w:type="dxa"/>
            <w:vMerge w:val="restart"/>
            <w:tcBorders>
              <w:top w:val="single" w:color="auto" w:sz="4" w:space="0"/>
              <w:left w:val="nil"/>
              <w:bottom w:val="single" w:color="auto" w:sz="4" w:space="0"/>
              <w:right w:val="single" w:color="auto" w:sz="4" w:space="0"/>
            </w:tcBorders>
          </w:tcPr>
          <w:p w14:paraId="6DF6A4DF">
            <w:pPr>
              <w:spacing w:line="580" w:lineRule="exact"/>
              <w:rPr>
                <w:rFonts w:asciiTheme="minorEastAsia" w:hAnsiTheme="minorEastAsia" w:cstheme="minorEastAsia"/>
                <w:sz w:val="18"/>
                <w:szCs w:val="18"/>
              </w:rPr>
            </w:pPr>
          </w:p>
          <w:p w14:paraId="41E1D505">
            <w:pPr>
              <w:spacing w:line="580" w:lineRule="exact"/>
              <w:rPr>
                <w:rFonts w:asciiTheme="minorEastAsia" w:hAnsiTheme="minorEastAsia" w:cstheme="minorEastAsia"/>
                <w:sz w:val="18"/>
                <w:szCs w:val="18"/>
              </w:rPr>
            </w:pPr>
          </w:p>
          <w:p w14:paraId="0241C618">
            <w:pPr>
              <w:spacing w:line="580" w:lineRule="exact"/>
              <w:rPr>
                <w:rFonts w:asciiTheme="minorEastAsia" w:hAnsiTheme="minorEastAsia" w:cstheme="minorEastAsia"/>
                <w:sz w:val="18"/>
                <w:szCs w:val="18"/>
              </w:rPr>
            </w:pPr>
          </w:p>
          <w:p w14:paraId="166BC651">
            <w:pPr>
              <w:spacing w:line="580" w:lineRule="exact"/>
              <w:rPr>
                <w:rFonts w:asciiTheme="minorEastAsia" w:hAnsiTheme="minorEastAsia" w:cstheme="minorEastAsia"/>
                <w:sz w:val="18"/>
                <w:szCs w:val="18"/>
              </w:rPr>
            </w:pPr>
          </w:p>
          <w:p w14:paraId="06DBB7AF">
            <w:pPr>
              <w:spacing w:line="580" w:lineRule="exact"/>
              <w:rPr>
                <w:rFonts w:asciiTheme="minorEastAsia" w:hAnsiTheme="minorEastAsia" w:cstheme="minorEastAsia"/>
                <w:sz w:val="18"/>
                <w:szCs w:val="18"/>
              </w:rPr>
            </w:pPr>
          </w:p>
        </w:tc>
        <w:tc>
          <w:tcPr>
            <w:tcW w:w="596" w:type="dxa"/>
            <w:tcBorders>
              <w:top w:val="single" w:color="auto" w:sz="4" w:space="0"/>
              <w:left w:val="nil"/>
              <w:bottom w:val="single" w:color="auto" w:sz="4" w:space="0"/>
              <w:right w:val="single" w:color="auto" w:sz="4" w:space="0"/>
            </w:tcBorders>
          </w:tcPr>
          <w:p w14:paraId="6B1AAB43">
            <w:pPr>
              <w:spacing w:line="580" w:lineRule="exact"/>
              <w:ind w:firstLine="90" w:firstLineChars="50"/>
              <w:rPr>
                <w:rFonts w:asciiTheme="minorEastAsia" w:hAnsiTheme="minorEastAsia" w:cstheme="minorEastAsia"/>
                <w:sz w:val="18"/>
                <w:szCs w:val="18"/>
              </w:rPr>
            </w:pPr>
            <w:r>
              <w:rPr>
                <w:rFonts w:hint="eastAsia" w:asciiTheme="minorEastAsia" w:hAnsiTheme="minorEastAsia" w:cstheme="minorEastAsia"/>
                <w:sz w:val="18"/>
                <w:szCs w:val="18"/>
              </w:rPr>
              <w:t>4</w:t>
            </w:r>
          </w:p>
        </w:tc>
        <w:tc>
          <w:tcPr>
            <w:tcW w:w="360" w:type="dxa"/>
            <w:vMerge w:val="restart"/>
            <w:tcBorders>
              <w:top w:val="nil"/>
              <w:left w:val="nil"/>
              <w:bottom w:val="single" w:color="auto" w:sz="4" w:space="0"/>
              <w:right w:val="single" w:color="auto" w:sz="4" w:space="0"/>
            </w:tcBorders>
          </w:tcPr>
          <w:p w14:paraId="5AA55865">
            <w:pPr>
              <w:spacing w:line="580" w:lineRule="exact"/>
              <w:rPr>
                <w:rFonts w:asciiTheme="minorEastAsia" w:hAnsiTheme="minorEastAsia" w:cstheme="minorEastAsia"/>
                <w:sz w:val="18"/>
                <w:szCs w:val="18"/>
              </w:rPr>
            </w:pPr>
          </w:p>
          <w:p w14:paraId="56676D6E">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4</w:t>
            </w:r>
          </w:p>
          <w:p w14:paraId="03E5EDDE">
            <w:pPr>
              <w:spacing w:line="580" w:lineRule="exact"/>
              <w:rPr>
                <w:rFonts w:asciiTheme="minorEastAsia" w:hAnsiTheme="minorEastAsia" w:cstheme="minorEastAsia"/>
                <w:sz w:val="18"/>
                <w:szCs w:val="18"/>
              </w:rPr>
            </w:pPr>
          </w:p>
        </w:tc>
        <w:tc>
          <w:tcPr>
            <w:tcW w:w="1260" w:type="dxa"/>
            <w:vMerge w:val="restart"/>
            <w:tcBorders>
              <w:top w:val="nil"/>
              <w:left w:val="nil"/>
              <w:bottom w:val="single" w:color="auto" w:sz="4" w:space="0"/>
              <w:right w:val="single" w:color="auto" w:sz="4" w:space="0"/>
            </w:tcBorders>
          </w:tcPr>
          <w:p w14:paraId="6A132F60">
            <w:pPr>
              <w:spacing w:line="58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章节课后习题案例讨论</w:t>
            </w:r>
          </w:p>
        </w:tc>
      </w:tr>
      <w:tr w14:paraId="0541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155" w:type="dxa"/>
            <w:vMerge w:val="continue"/>
            <w:tcBorders>
              <w:top w:val="nil"/>
              <w:left w:val="single" w:color="auto" w:sz="12" w:space="0"/>
              <w:bottom w:val="single" w:color="auto" w:sz="4" w:space="0"/>
              <w:right w:val="single" w:color="auto" w:sz="4" w:space="0"/>
            </w:tcBorders>
          </w:tcPr>
          <w:p w14:paraId="7D89CFF1">
            <w:pPr>
              <w:spacing w:line="580" w:lineRule="exact"/>
              <w:rPr>
                <w:rFonts w:asciiTheme="minorEastAsia" w:hAnsiTheme="minorEastAsia" w:cstheme="minorEastAsia"/>
                <w:sz w:val="18"/>
                <w:szCs w:val="18"/>
              </w:rPr>
            </w:pPr>
          </w:p>
        </w:tc>
        <w:tc>
          <w:tcPr>
            <w:tcW w:w="1365" w:type="dxa"/>
            <w:tcBorders>
              <w:top w:val="single" w:color="auto" w:sz="4" w:space="0"/>
              <w:left w:val="nil"/>
              <w:bottom w:val="single" w:color="auto" w:sz="4" w:space="0"/>
              <w:right w:val="single" w:color="auto" w:sz="4" w:space="0"/>
            </w:tcBorders>
          </w:tcPr>
          <w:p w14:paraId="1F1F753C">
            <w:pPr>
              <w:spacing w:line="58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第一节</w:t>
            </w:r>
          </w:p>
        </w:tc>
        <w:tc>
          <w:tcPr>
            <w:tcW w:w="3780" w:type="dxa"/>
            <w:tcBorders>
              <w:top w:val="single" w:color="auto" w:sz="4" w:space="0"/>
              <w:left w:val="nil"/>
              <w:bottom w:val="single" w:color="auto" w:sz="4" w:space="0"/>
              <w:right w:val="single" w:color="auto" w:sz="4" w:space="0"/>
            </w:tcBorders>
          </w:tcPr>
          <w:p w14:paraId="16FBA2F4">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货币政策概述</w:t>
            </w:r>
          </w:p>
        </w:tc>
        <w:tc>
          <w:tcPr>
            <w:tcW w:w="1080" w:type="dxa"/>
            <w:vMerge w:val="continue"/>
            <w:tcBorders>
              <w:top w:val="single" w:color="auto" w:sz="4" w:space="0"/>
              <w:left w:val="nil"/>
              <w:bottom w:val="single" w:color="auto" w:sz="4" w:space="0"/>
              <w:right w:val="single" w:color="auto" w:sz="4" w:space="0"/>
            </w:tcBorders>
          </w:tcPr>
          <w:p w14:paraId="435DE83D">
            <w:pPr>
              <w:spacing w:line="580" w:lineRule="exact"/>
              <w:rPr>
                <w:rFonts w:asciiTheme="minorEastAsia" w:hAnsiTheme="minorEastAsia" w:cstheme="minorEastAsia"/>
                <w:sz w:val="18"/>
                <w:szCs w:val="18"/>
              </w:rPr>
            </w:pPr>
          </w:p>
        </w:tc>
        <w:tc>
          <w:tcPr>
            <w:tcW w:w="596" w:type="dxa"/>
            <w:tcBorders>
              <w:top w:val="single" w:color="auto" w:sz="4" w:space="0"/>
              <w:left w:val="nil"/>
              <w:bottom w:val="single" w:color="auto" w:sz="4" w:space="0"/>
              <w:right w:val="single" w:color="auto" w:sz="4" w:space="0"/>
            </w:tcBorders>
          </w:tcPr>
          <w:p w14:paraId="206FC840">
            <w:pPr>
              <w:spacing w:line="580" w:lineRule="exact"/>
              <w:ind w:firstLine="90" w:firstLineChars="50"/>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360" w:type="dxa"/>
            <w:vMerge w:val="continue"/>
            <w:tcBorders>
              <w:top w:val="nil"/>
              <w:left w:val="nil"/>
              <w:bottom w:val="single" w:color="auto" w:sz="4" w:space="0"/>
              <w:right w:val="single" w:color="auto" w:sz="4" w:space="0"/>
            </w:tcBorders>
          </w:tcPr>
          <w:p w14:paraId="42FFBD92">
            <w:pPr>
              <w:spacing w:line="580" w:lineRule="exact"/>
              <w:rPr>
                <w:rFonts w:asciiTheme="minorEastAsia" w:hAnsiTheme="minorEastAsia" w:cstheme="minorEastAsia"/>
                <w:sz w:val="18"/>
                <w:szCs w:val="18"/>
              </w:rPr>
            </w:pPr>
          </w:p>
        </w:tc>
        <w:tc>
          <w:tcPr>
            <w:tcW w:w="1260" w:type="dxa"/>
            <w:vMerge w:val="continue"/>
            <w:tcBorders>
              <w:top w:val="nil"/>
              <w:left w:val="nil"/>
              <w:bottom w:val="single" w:color="auto" w:sz="4" w:space="0"/>
              <w:right w:val="single" w:color="auto" w:sz="4" w:space="0"/>
            </w:tcBorders>
          </w:tcPr>
          <w:p w14:paraId="5553689A">
            <w:pPr>
              <w:spacing w:line="580" w:lineRule="exact"/>
              <w:rPr>
                <w:rFonts w:asciiTheme="minorEastAsia" w:hAnsiTheme="minorEastAsia" w:cstheme="minorEastAsia"/>
                <w:sz w:val="18"/>
                <w:szCs w:val="18"/>
              </w:rPr>
            </w:pPr>
          </w:p>
        </w:tc>
      </w:tr>
      <w:tr w14:paraId="2426A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155" w:type="dxa"/>
            <w:vMerge w:val="continue"/>
            <w:tcBorders>
              <w:top w:val="nil"/>
              <w:left w:val="single" w:color="auto" w:sz="12" w:space="0"/>
              <w:bottom w:val="single" w:color="auto" w:sz="4" w:space="0"/>
              <w:right w:val="single" w:color="auto" w:sz="4" w:space="0"/>
            </w:tcBorders>
          </w:tcPr>
          <w:p w14:paraId="37EF91A3">
            <w:pPr>
              <w:spacing w:line="580" w:lineRule="exact"/>
              <w:rPr>
                <w:rFonts w:asciiTheme="minorEastAsia" w:hAnsiTheme="minorEastAsia" w:cstheme="minorEastAsia"/>
                <w:sz w:val="18"/>
                <w:szCs w:val="18"/>
              </w:rPr>
            </w:pPr>
          </w:p>
        </w:tc>
        <w:tc>
          <w:tcPr>
            <w:tcW w:w="1365" w:type="dxa"/>
            <w:tcBorders>
              <w:top w:val="single" w:color="auto" w:sz="4" w:space="0"/>
              <w:left w:val="nil"/>
              <w:bottom w:val="single" w:color="auto" w:sz="4" w:space="0"/>
              <w:right w:val="single" w:color="auto" w:sz="4" w:space="0"/>
            </w:tcBorders>
          </w:tcPr>
          <w:p w14:paraId="5188C0A7">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 xml:space="preserve">    第二节</w:t>
            </w:r>
          </w:p>
        </w:tc>
        <w:tc>
          <w:tcPr>
            <w:tcW w:w="3780" w:type="dxa"/>
            <w:tcBorders>
              <w:top w:val="single" w:color="auto" w:sz="4" w:space="0"/>
              <w:left w:val="nil"/>
              <w:bottom w:val="single" w:color="auto" w:sz="4" w:space="0"/>
              <w:right w:val="single" w:color="auto" w:sz="4" w:space="0"/>
            </w:tcBorders>
          </w:tcPr>
          <w:p w14:paraId="5894B644">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货币政策工具与政策效应</w:t>
            </w:r>
          </w:p>
        </w:tc>
        <w:tc>
          <w:tcPr>
            <w:tcW w:w="1080" w:type="dxa"/>
            <w:vMerge w:val="continue"/>
            <w:tcBorders>
              <w:top w:val="single" w:color="auto" w:sz="4" w:space="0"/>
              <w:left w:val="nil"/>
              <w:bottom w:val="single" w:color="auto" w:sz="4" w:space="0"/>
              <w:right w:val="single" w:color="auto" w:sz="4" w:space="0"/>
            </w:tcBorders>
          </w:tcPr>
          <w:p w14:paraId="30F1496C">
            <w:pPr>
              <w:spacing w:line="580" w:lineRule="exact"/>
              <w:rPr>
                <w:rFonts w:asciiTheme="minorEastAsia" w:hAnsiTheme="minorEastAsia" w:cstheme="minorEastAsia"/>
                <w:sz w:val="18"/>
                <w:szCs w:val="18"/>
              </w:rPr>
            </w:pPr>
          </w:p>
        </w:tc>
        <w:tc>
          <w:tcPr>
            <w:tcW w:w="596" w:type="dxa"/>
            <w:vMerge w:val="restart"/>
            <w:tcBorders>
              <w:top w:val="nil"/>
              <w:left w:val="nil"/>
              <w:bottom w:val="single" w:color="auto" w:sz="4" w:space="0"/>
              <w:right w:val="single" w:color="auto" w:sz="4" w:space="0"/>
            </w:tcBorders>
          </w:tcPr>
          <w:p w14:paraId="175C9125">
            <w:pPr>
              <w:spacing w:line="580" w:lineRule="exact"/>
              <w:ind w:firstLine="90" w:firstLineChars="50"/>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360" w:type="dxa"/>
            <w:vMerge w:val="continue"/>
            <w:tcBorders>
              <w:top w:val="nil"/>
              <w:left w:val="nil"/>
              <w:bottom w:val="single" w:color="auto" w:sz="4" w:space="0"/>
              <w:right w:val="single" w:color="auto" w:sz="4" w:space="0"/>
            </w:tcBorders>
          </w:tcPr>
          <w:p w14:paraId="582E6B22">
            <w:pPr>
              <w:spacing w:line="580" w:lineRule="exact"/>
              <w:rPr>
                <w:rFonts w:asciiTheme="minorEastAsia" w:hAnsiTheme="minorEastAsia" w:cstheme="minorEastAsia"/>
                <w:sz w:val="18"/>
                <w:szCs w:val="18"/>
              </w:rPr>
            </w:pPr>
          </w:p>
        </w:tc>
        <w:tc>
          <w:tcPr>
            <w:tcW w:w="1260" w:type="dxa"/>
            <w:vMerge w:val="continue"/>
            <w:tcBorders>
              <w:top w:val="nil"/>
              <w:left w:val="nil"/>
              <w:bottom w:val="single" w:color="auto" w:sz="4" w:space="0"/>
              <w:right w:val="single" w:color="auto" w:sz="4" w:space="0"/>
            </w:tcBorders>
          </w:tcPr>
          <w:p w14:paraId="1C5F8404">
            <w:pPr>
              <w:spacing w:line="580" w:lineRule="exact"/>
              <w:rPr>
                <w:rFonts w:asciiTheme="minorEastAsia" w:hAnsiTheme="minorEastAsia" w:cstheme="minorEastAsia"/>
                <w:sz w:val="18"/>
                <w:szCs w:val="18"/>
              </w:rPr>
            </w:pPr>
          </w:p>
        </w:tc>
      </w:tr>
      <w:tr w14:paraId="3F088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155" w:type="dxa"/>
            <w:vMerge w:val="continue"/>
            <w:tcBorders>
              <w:top w:val="nil"/>
              <w:left w:val="single" w:color="auto" w:sz="12" w:space="0"/>
              <w:bottom w:val="single" w:color="auto" w:sz="4" w:space="0"/>
              <w:right w:val="single" w:color="auto" w:sz="4" w:space="0"/>
            </w:tcBorders>
          </w:tcPr>
          <w:p w14:paraId="42D29114">
            <w:pPr>
              <w:spacing w:line="580" w:lineRule="exact"/>
              <w:rPr>
                <w:rFonts w:asciiTheme="minorEastAsia" w:hAnsiTheme="minorEastAsia" w:cstheme="minorEastAsia"/>
                <w:sz w:val="18"/>
                <w:szCs w:val="18"/>
              </w:rPr>
            </w:pPr>
          </w:p>
        </w:tc>
        <w:tc>
          <w:tcPr>
            <w:tcW w:w="1365" w:type="dxa"/>
            <w:tcBorders>
              <w:top w:val="single" w:color="auto" w:sz="4" w:space="0"/>
              <w:left w:val="nil"/>
              <w:bottom w:val="single" w:color="auto" w:sz="4" w:space="0"/>
              <w:right w:val="single" w:color="auto" w:sz="4" w:space="0"/>
            </w:tcBorders>
          </w:tcPr>
          <w:p w14:paraId="7F3EF9FE">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 xml:space="preserve">  第三节</w:t>
            </w:r>
          </w:p>
        </w:tc>
        <w:tc>
          <w:tcPr>
            <w:tcW w:w="3780" w:type="dxa"/>
            <w:tcBorders>
              <w:top w:val="single" w:color="auto" w:sz="4" w:space="0"/>
              <w:left w:val="nil"/>
              <w:bottom w:val="single" w:color="auto" w:sz="4" w:space="0"/>
              <w:right w:val="single" w:color="auto" w:sz="4" w:space="0"/>
            </w:tcBorders>
          </w:tcPr>
          <w:p w14:paraId="68DB519C">
            <w:pPr>
              <w:spacing w:line="580" w:lineRule="exact"/>
              <w:rPr>
                <w:rFonts w:asciiTheme="minorEastAsia" w:hAnsiTheme="minorEastAsia" w:cstheme="minorEastAsia"/>
                <w:sz w:val="18"/>
                <w:szCs w:val="18"/>
              </w:rPr>
            </w:pPr>
            <w:r>
              <w:rPr>
                <w:rFonts w:hint="eastAsia" w:asciiTheme="minorEastAsia" w:hAnsiTheme="minorEastAsia" w:cstheme="minorEastAsia"/>
                <w:sz w:val="18"/>
                <w:szCs w:val="18"/>
              </w:rPr>
              <w:t>金融监管</w:t>
            </w:r>
          </w:p>
        </w:tc>
        <w:tc>
          <w:tcPr>
            <w:tcW w:w="1080" w:type="dxa"/>
            <w:vMerge w:val="continue"/>
            <w:tcBorders>
              <w:top w:val="single" w:color="auto" w:sz="4" w:space="0"/>
              <w:left w:val="nil"/>
              <w:bottom w:val="single" w:color="auto" w:sz="4" w:space="0"/>
              <w:right w:val="single" w:color="auto" w:sz="4" w:space="0"/>
            </w:tcBorders>
          </w:tcPr>
          <w:p w14:paraId="7886CAEE">
            <w:pPr>
              <w:spacing w:line="580" w:lineRule="exact"/>
              <w:rPr>
                <w:rFonts w:asciiTheme="minorEastAsia" w:hAnsiTheme="minorEastAsia" w:cstheme="minorEastAsia"/>
                <w:sz w:val="18"/>
                <w:szCs w:val="18"/>
              </w:rPr>
            </w:pPr>
          </w:p>
        </w:tc>
        <w:tc>
          <w:tcPr>
            <w:tcW w:w="596" w:type="dxa"/>
            <w:vMerge w:val="continue"/>
            <w:tcBorders>
              <w:top w:val="nil"/>
              <w:left w:val="nil"/>
              <w:bottom w:val="single" w:color="auto" w:sz="4" w:space="0"/>
              <w:right w:val="single" w:color="auto" w:sz="4" w:space="0"/>
            </w:tcBorders>
          </w:tcPr>
          <w:p w14:paraId="09C4B935">
            <w:pPr>
              <w:spacing w:line="580" w:lineRule="exact"/>
              <w:rPr>
                <w:rFonts w:asciiTheme="minorEastAsia" w:hAnsiTheme="minorEastAsia" w:cstheme="minorEastAsia"/>
                <w:sz w:val="18"/>
                <w:szCs w:val="18"/>
              </w:rPr>
            </w:pPr>
          </w:p>
        </w:tc>
        <w:tc>
          <w:tcPr>
            <w:tcW w:w="360" w:type="dxa"/>
            <w:vMerge w:val="continue"/>
            <w:tcBorders>
              <w:top w:val="nil"/>
              <w:left w:val="nil"/>
              <w:bottom w:val="single" w:color="auto" w:sz="4" w:space="0"/>
              <w:right w:val="single" w:color="auto" w:sz="4" w:space="0"/>
            </w:tcBorders>
          </w:tcPr>
          <w:p w14:paraId="5B7224F7">
            <w:pPr>
              <w:spacing w:line="580" w:lineRule="exact"/>
              <w:rPr>
                <w:rFonts w:asciiTheme="minorEastAsia" w:hAnsiTheme="minorEastAsia" w:cstheme="minorEastAsia"/>
                <w:sz w:val="18"/>
                <w:szCs w:val="18"/>
              </w:rPr>
            </w:pPr>
          </w:p>
        </w:tc>
        <w:tc>
          <w:tcPr>
            <w:tcW w:w="1260" w:type="dxa"/>
            <w:vMerge w:val="continue"/>
            <w:tcBorders>
              <w:top w:val="nil"/>
              <w:left w:val="nil"/>
              <w:bottom w:val="single" w:color="auto" w:sz="4" w:space="0"/>
              <w:right w:val="single" w:color="auto" w:sz="4" w:space="0"/>
            </w:tcBorders>
          </w:tcPr>
          <w:p w14:paraId="3C2F0E6D">
            <w:pPr>
              <w:spacing w:line="580" w:lineRule="exact"/>
              <w:rPr>
                <w:rFonts w:asciiTheme="minorEastAsia" w:hAnsiTheme="minorEastAsia" w:cstheme="minorEastAsia"/>
                <w:sz w:val="18"/>
                <w:szCs w:val="18"/>
              </w:rPr>
            </w:pPr>
          </w:p>
        </w:tc>
      </w:tr>
      <w:tr w14:paraId="0106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2520" w:type="dxa"/>
            <w:gridSpan w:val="2"/>
            <w:tcBorders>
              <w:top w:val="single" w:color="auto" w:sz="4" w:space="0"/>
              <w:left w:val="single" w:color="auto" w:sz="12" w:space="0"/>
              <w:bottom w:val="single" w:color="auto" w:sz="4" w:space="0"/>
              <w:right w:val="single" w:color="auto" w:sz="4" w:space="0"/>
            </w:tcBorders>
          </w:tcPr>
          <w:p w14:paraId="71AA75D1">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合计</w:t>
            </w:r>
          </w:p>
        </w:tc>
        <w:tc>
          <w:tcPr>
            <w:tcW w:w="7076" w:type="dxa"/>
            <w:gridSpan w:val="5"/>
            <w:tcBorders>
              <w:top w:val="single" w:color="auto" w:sz="4" w:space="0"/>
              <w:left w:val="nil"/>
              <w:bottom w:val="single" w:color="auto" w:sz="4" w:space="0"/>
              <w:right w:val="single" w:color="auto" w:sz="4" w:space="0"/>
            </w:tcBorders>
          </w:tcPr>
          <w:p w14:paraId="766158B7">
            <w:pPr>
              <w:spacing w:line="58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 xml:space="preserve">                                                         68</w:t>
            </w:r>
          </w:p>
        </w:tc>
      </w:tr>
    </w:tbl>
    <w:p w14:paraId="411A729F">
      <w:pPr>
        <w:widowControl/>
        <w:spacing w:line="580" w:lineRule="exact"/>
        <w:ind w:firstLine="560" w:firstLineChars="200"/>
        <w:rPr>
          <w:sz w:val="28"/>
        </w:rPr>
      </w:pPr>
    </w:p>
    <w:p w14:paraId="173C554A">
      <w:pPr>
        <w:pStyle w:val="27"/>
        <w:widowControl/>
        <w:numPr>
          <w:ilvl w:val="0"/>
          <w:numId w:val="2"/>
        </w:numPr>
        <w:spacing w:line="580" w:lineRule="exact"/>
        <w:ind w:firstLineChars="0"/>
        <w:jc w:val="left"/>
        <w:rPr>
          <w:rFonts w:ascii="黑体" w:eastAsia="黑体"/>
          <w:bCs/>
          <w:sz w:val="32"/>
          <w:szCs w:val="32"/>
        </w:rPr>
      </w:pPr>
      <w:r>
        <w:rPr>
          <w:rFonts w:hint="eastAsia" w:ascii="黑体" w:eastAsia="黑体"/>
          <w:bCs/>
          <w:sz w:val="32"/>
          <w:szCs w:val="32"/>
        </w:rPr>
        <w:t>实施建议</w:t>
      </w:r>
    </w:p>
    <w:p w14:paraId="7E57E1DB">
      <w:pPr>
        <w:pStyle w:val="31"/>
      </w:pPr>
      <w:r>
        <w:t>（一）教材的编写与选择</w:t>
      </w:r>
    </w:p>
    <w:p w14:paraId="749BA937">
      <w:pPr>
        <w:pStyle w:val="34"/>
      </w:pPr>
      <w:r>
        <w:rPr>
          <w:rFonts w:hint="eastAsia"/>
        </w:rPr>
        <w:t>1.必须根据现实的金融业务实践编写教材或选定教材；</w:t>
      </w:r>
    </w:p>
    <w:p w14:paraId="09A417F1">
      <w:pPr>
        <w:pStyle w:val="34"/>
      </w:pPr>
      <w:r>
        <w:rPr>
          <w:rFonts w:hint="eastAsia"/>
        </w:rPr>
        <w:t>2.根据实践与现实来选定教学内容，多增加实践操作的内容，强调理论在实际操作中的作用。</w:t>
      </w:r>
    </w:p>
    <w:p w14:paraId="5CA6F51C">
      <w:pPr>
        <w:pStyle w:val="34"/>
      </w:pPr>
      <w:r>
        <w:rPr>
          <w:rFonts w:hint="eastAsia"/>
        </w:rPr>
        <w:t>3.教材中的基础理论知识，贴近银行的实际业务，经增强人才培养的适应性的针对性。</w:t>
      </w:r>
    </w:p>
    <w:p w14:paraId="4867C952">
      <w:pPr>
        <w:pStyle w:val="31"/>
      </w:pPr>
      <w:r>
        <w:t>（二）教学建议</w:t>
      </w:r>
    </w:p>
    <w:p w14:paraId="2A79AAD4">
      <w:pPr>
        <w:pStyle w:val="34"/>
      </w:pPr>
      <w:r>
        <w:rPr>
          <w:rFonts w:hint="eastAsia"/>
        </w:rPr>
        <w:t>1.在教学中要加强基础知识、基本理论理解掌握的同时，加强对学生实践职业能力的培养，多用实际案例来激发学生学习的主动性。</w:t>
      </w:r>
    </w:p>
    <w:p w14:paraId="6EC86C03">
      <w:pPr>
        <w:pStyle w:val="34"/>
      </w:pPr>
      <w:r>
        <w:rPr>
          <w:rFonts w:hint="eastAsia"/>
        </w:rPr>
        <w:t>2.教学中要以学生为本位，注重教学互动。通过教师围绕教学内容提出问题，让学生多思考理解，多举一些实际例子让学生练习，以提高学生分析问题、解决问题和实践操作能力。</w:t>
      </w:r>
    </w:p>
    <w:p w14:paraId="7DCBAB21">
      <w:pPr>
        <w:pStyle w:val="34"/>
      </w:pPr>
      <w:r>
        <w:rPr>
          <w:rFonts w:hint="eastAsia"/>
        </w:rPr>
        <w:t>3.教学中注重运用多媒体等辅助教学，帮助学生理解所学内容。</w:t>
      </w:r>
    </w:p>
    <w:p w14:paraId="29F3D621">
      <w:pPr>
        <w:pStyle w:val="34"/>
      </w:pPr>
      <w:r>
        <w:rPr>
          <w:rFonts w:hint="eastAsia"/>
        </w:rPr>
        <w:t>4.教学中要注意补充金融改革中的新政策、新规定，使教与学紧密结合。</w:t>
      </w:r>
    </w:p>
    <w:p w14:paraId="7D31AD9E">
      <w:pPr>
        <w:pStyle w:val="31"/>
      </w:pPr>
      <w:r>
        <w:t>（三）教学评价</w:t>
      </w:r>
    </w:p>
    <w:p w14:paraId="62E172BC">
      <w:pPr>
        <w:pStyle w:val="34"/>
      </w:pPr>
      <w:r>
        <w:rPr>
          <w:rFonts w:hint="eastAsia"/>
        </w:rPr>
        <w:t>1.可采用单元考核或阶段考核的方法；</w:t>
      </w:r>
    </w:p>
    <w:p w14:paraId="59DBC910">
      <w:pPr>
        <w:pStyle w:val="34"/>
      </w:pPr>
      <w:r>
        <w:rPr>
          <w:rFonts w:hint="eastAsia"/>
        </w:rPr>
        <w:t>2.考核方式与内容：考核中注重基本知识的基本理论的理解的掌握，又要注重所学内容金融知识的实际应用能力。</w:t>
      </w:r>
    </w:p>
    <w:p w14:paraId="76262052">
      <w:pPr>
        <w:pStyle w:val="34"/>
      </w:pPr>
      <w:r>
        <w:rPr>
          <w:rFonts w:hint="eastAsia"/>
        </w:rPr>
        <w:t>3.注重课堂提问、练习、社会调研报告、常规业和阶段性测验等方式进行教学综合评价。</w:t>
      </w:r>
    </w:p>
    <w:p w14:paraId="4C77BC90">
      <w:pPr>
        <w:pStyle w:val="31"/>
      </w:pPr>
      <w:r>
        <w:t>（四）教学资源的利用</w:t>
      </w:r>
    </w:p>
    <w:p w14:paraId="4BFBF439">
      <w:pPr>
        <w:pStyle w:val="34"/>
      </w:pPr>
      <w:r>
        <w:rPr>
          <w:rFonts w:hint="eastAsia"/>
        </w:rPr>
        <w:t>1.利用挂图、投影、光盘等多媒体课件，为学生搭建一个立体的教学平台，激发学生的学习兴趣，调动学生学习的主动性和创造性。</w:t>
      </w:r>
    </w:p>
    <w:p w14:paraId="6CA6526C">
      <w:pPr>
        <w:pStyle w:val="34"/>
      </w:pPr>
      <w:r>
        <w:rPr>
          <w:rFonts w:hint="eastAsia"/>
        </w:rPr>
        <w:t>2.充分利用电子书籍、电子期刊、图书资料等网络资源，使教学内容从单一走向多元，更好地拓展学生的知识和能力。</w:t>
      </w:r>
    </w:p>
    <w:p w14:paraId="348944BC">
      <w:pPr>
        <w:pStyle w:val="34"/>
      </w:pPr>
      <w:r>
        <w:rPr>
          <w:rFonts w:hint="eastAsia"/>
        </w:rPr>
        <w:t>3.与相关商业银行合作交流，实际参观展览，满足学生多方面涉猎学习的需要，理论与实践相结合，培养适用于社会发展的人才。</w:t>
      </w:r>
    </w:p>
    <w:p w14:paraId="064563CF">
      <w:pPr>
        <w:spacing w:line="580" w:lineRule="exact"/>
        <w:ind w:firstLine="640" w:firstLineChars="200"/>
        <w:rPr>
          <w:rFonts w:ascii="黑体" w:hAnsi="黑体" w:eastAsia="黑体"/>
          <w:sz w:val="32"/>
          <w:szCs w:val="32"/>
        </w:rPr>
      </w:pPr>
      <w:r>
        <w:rPr>
          <w:rFonts w:hint="eastAsia" w:ascii="黑体" w:hAnsi="黑体" w:eastAsia="黑体"/>
          <w:sz w:val="32"/>
          <w:szCs w:val="32"/>
        </w:rPr>
        <w:t>四、课程资源开发与利用</w:t>
      </w:r>
    </w:p>
    <w:p w14:paraId="56055D7E">
      <w:pPr>
        <w:spacing w:line="580" w:lineRule="exact"/>
        <w:ind w:firstLine="640" w:firstLineChars="200"/>
        <w:rPr>
          <w:rFonts w:ascii="仿宋" w:hAnsi="仿宋" w:eastAsia="仿宋"/>
          <w:sz w:val="32"/>
          <w:szCs w:val="32"/>
        </w:rPr>
      </w:pPr>
      <w:r>
        <w:rPr>
          <w:rFonts w:hint="eastAsia" w:ascii="仿宋" w:hAnsi="仿宋" w:eastAsia="仿宋"/>
          <w:sz w:val="32"/>
          <w:szCs w:val="32"/>
        </w:rPr>
        <w:t>学习资料资源开发利用： 证券辅助教材、校本实训指导书 ;</w:t>
      </w:r>
    </w:p>
    <w:p w14:paraId="780F5ED3">
      <w:pPr>
        <w:spacing w:line="580" w:lineRule="exact"/>
        <w:ind w:firstLine="640" w:firstLineChars="200"/>
        <w:rPr>
          <w:rFonts w:ascii="仿宋" w:hAnsi="仿宋" w:eastAsia="仿宋"/>
          <w:sz w:val="32"/>
          <w:szCs w:val="32"/>
        </w:rPr>
      </w:pPr>
      <w:r>
        <w:rPr>
          <w:rFonts w:hint="eastAsia" w:ascii="仿宋" w:hAnsi="仿宋" w:eastAsia="仿宋"/>
          <w:sz w:val="32"/>
          <w:szCs w:val="32"/>
        </w:rPr>
        <w:t>信息化教学资源开发利用：多媒体课件、网络课程、多媒体素材、电子图书和专业网站。</w:t>
      </w:r>
    </w:p>
    <w:p w14:paraId="0294304D">
      <w:pPr>
        <w:spacing w:line="580" w:lineRule="exact"/>
        <w:ind w:firstLine="640" w:firstLineChars="200"/>
        <w:rPr>
          <w:rFonts w:ascii="仿宋" w:hAnsi="仿宋" w:eastAsia="仿宋"/>
          <w:sz w:val="32"/>
          <w:szCs w:val="32"/>
        </w:rPr>
      </w:pPr>
      <w:r>
        <w:rPr>
          <w:rFonts w:hint="eastAsia" w:ascii="仿宋" w:hAnsi="仿宋" w:eastAsia="仿宋"/>
          <w:sz w:val="32"/>
          <w:szCs w:val="32"/>
        </w:rPr>
        <w:t>校内外实验实训教学资源开发利用：校内有较好的金融实训室供学生使用，准备建立校外实训基地。</w:t>
      </w:r>
    </w:p>
    <w:p w14:paraId="76C62018">
      <w:pPr>
        <w:pStyle w:val="27"/>
        <w:widowControl/>
        <w:spacing w:line="580" w:lineRule="exact"/>
        <w:ind w:firstLine="0" w:firstLineChars="0"/>
        <w:jc w:val="left"/>
        <w:rPr>
          <w:rFonts w:ascii="黑体" w:eastAsia="黑体"/>
          <w:bCs/>
          <w:sz w:val="32"/>
          <w:szCs w:val="32"/>
        </w:rPr>
      </w:pPr>
      <w:r>
        <w:rPr>
          <w:rFonts w:hint="eastAsia" w:ascii="黑体" w:eastAsia="黑体"/>
          <w:bCs/>
          <w:sz w:val="32"/>
          <w:szCs w:val="32"/>
        </w:rPr>
        <w:t xml:space="preserve">五、其他说明 </w:t>
      </w:r>
    </w:p>
    <w:p w14:paraId="526AA46B">
      <w:pPr>
        <w:pStyle w:val="34"/>
      </w:pPr>
      <w:r>
        <w:rPr>
          <w:rFonts w:hint="eastAsia"/>
        </w:rPr>
        <w:t>（一） 依据课时量对教材内容有选择编制计划。</w:t>
      </w:r>
    </w:p>
    <w:p w14:paraId="0B92F6CC">
      <w:pPr>
        <w:pStyle w:val="34"/>
      </w:pPr>
      <w:r>
        <w:rPr>
          <w:rFonts w:hint="eastAsia"/>
        </w:rPr>
        <w:t>（二） 由于教学条件限制制定的现场教学根据教与学情况使用时调整进行。</w:t>
      </w:r>
    </w:p>
    <w:p w14:paraId="198F79C3">
      <w:pPr>
        <w:widowControl/>
        <w:ind w:left="420" w:firstLine="280" w:firstLineChars="100"/>
        <w:rPr>
          <w:rFonts w:ascii="仿宋" w:hAnsi="仿宋" w:eastAsia="仿宋"/>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方正黑体简体">
    <w:altName w:val="宋体"/>
    <w:panose1 w:val="00000000000000000000"/>
    <w:charset w:val="86"/>
    <w:family w:val="script"/>
    <w:pitch w:val="default"/>
    <w:sig w:usb0="00000000" w:usb1="00000000" w:usb2="00000010" w:usb3="00000000" w:csb0="00040000" w:csb1="00000000"/>
  </w:font>
  <w:font w:name="方正书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745FD2"/>
    <w:multiLevelType w:val="multilevel"/>
    <w:tmpl w:val="77745FD2"/>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AAC6974"/>
    <w:multiLevelType w:val="multilevel"/>
    <w:tmpl w:val="7AAC6974"/>
    <w:lvl w:ilvl="0" w:tentative="0">
      <w:start w:val="1"/>
      <w:numFmt w:val="japaneseCounting"/>
      <w:lvlText w:val="（%1）"/>
      <w:lvlJc w:val="left"/>
      <w:pPr>
        <w:ind w:left="1720" w:hanging="1080"/>
      </w:pPr>
      <w:rPr>
        <w:rFonts w:hint="default" w:cs="Times New Roman"/>
        <w:u w:val="none"/>
      </w:rPr>
    </w:lvl>
    <w:lvl w:ilvl="1" w:tentative="0">
      <w:start w:val="1"/>
      <w:numFmt w:val="lowerLetter"/>
      <w:lvlText w:val="%2)"/>
      <w:lvlJc w:val="left"/>
      <w:pPr>
        <w:ind w:left="1480" w:hanging="420"/>
      </w:pPr>
      <w:rPr>
        <w:rFonts w:hint="default" w:cs="Times New Roman"/>
        <w:u w:val="none"/>
      </w:rPr>
    </w:lvl>
    <w:lvl w:ilvl="2" w:tentative="0">
      <w:start w:val="1"/>
      <w:numFmt w:val="lowerRoman"/>
      <w:lvlText w:val="%3."/>
      <w:lvlJc w:val="right"/>
      <w:pPr>
        <w:ind w:left="1900" w:hanging="420"/>
      </w:pPr>
      <w:rPr>
        <w:rFonts w:hint="default" w:cs="Times New Roman"/>
        <w:u w:val="none"/>
      </w:rPr>
    </w:lvl>
    <w:lvl w:ilvl="3" w:tentative="0">
      <w:start w:val="1"/>
      <w:numFmt w:val="decimal"/>
      <w:lvlText w:val="%4."/>
      <w:lvlJc w:val="left"/>
      <w:pPr>
        <w:ind w:left="2320" w:hanging="420"/>
      </w:pPr>
      <w:rPr>
        <w:rFonts w:hint="default" w:cs="Times New Roman"/>
        <w:u w:val="none"/>
      </w:rPr>
    </w:lvl>
    <w:lvl w:ilvl="4" w:tentative="0">
      <w:start w:val="1"/>
      <w:numFmt w:val="lowerLetter"/>
      <w:lvlText w:val="%5)"/>
      <w:lvlJc w:val="left"/>
      <w:pPr>
        <w:ind w:left="2740" w:hanging="420"/>
      </w:pPr>
      <w:rPr>
        <w:rFonts w:hint="default" w:cs="Times New Roman"/>
        <w:u w:val="none"/>
      </w:rPr>
    </w:lvl>
    <w:lvl w:ilvl="5" w:tentative="0">
      <w:start w:val="1"/>
      <w:numFmt w:val="lowerRoman"/>
      <w:lvlText w:val="%6."/>
      <w:lvlJc w:val="right"/>
      <w:pPr>
        <w:ind w:left="3160" w:hanging="420"/>
      </w:pPr>
      <w:rPr>
        <w:rFonts w:hint="default" w:cs="Times New Roman"/>
        <w:u w:val="none"/>
      </w:rPr>
    </w:lvl>
    <w:lvl w:ilvl="6" w:tentative="0">
      <w:start w:val="1"/>
      <w:numFmt w:val="decimal"/>
      <w:lvlText w:val="%7."/>
      <w:lvlJc w:val="left"/>
      <w:pPr>
        <w:ind w:left="3580" w:hanging="420"/>
      </w:pPr>
      <w:rPr>
        <w:rFonts w:hint="default" w:cs="Times New Roman"/>
        <w:u w:val="none"/>
      </w:rPr>
    </w:lvl>
    <w:lvl w:ilvl="7" w:tentative="0">
      <w:start w:val="1"/>
      <w:numFmt w:val="lowerLetter"/>
      <w:lvlText w:val="%8)"/>
      <w:lvlJc w:val="left"/>
      <w:pPr>
        <w:ind w:left="4000" w:hanging="420"/>
      </w:pPr>
      <w:rPr>
        <w:rFonts w:hint="default" w:cs="Times New Roman"/>
        <w:u w:val="none"/>
      </w:rPr>
    </w:lvl>
    <w:lvl w:ilvl="8" w:tentative="0">
      <w:start w:val="1"/>
      <w:numFmt w:val="lowerRoman"/>
      <w:lvlText w:val="%9."/>
      <w:lvlJc w:val="right"/>
      <w:pPr>
        <w:ind w:left="4420" w:hanging="420"/>
      </w:pPr>
      <w:rPr>
        <w:rFonts w:hint="default" w:cs="Times New Roman"/>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NjAzNzZjNTQ1ZWYyMzcyOTdlNzdlZTczMmNjMTkifQ=="/>
  </w:docVars>
  <w:rsids>
    <w:rsidRoot w:val="00172A27"/>
    <w:rsid w:val="00172A27"/>
    <w:rsid w:val="00584C9C"/>
    <w:rsid w:val="00695E14"/>
    <w:rsid w:val="009C3943"/>
    <w:rsid w:val="00A63778"/>
    <w:rsid w:val="00DB14E1"/>
    <w:rsid w:val="00FA685E"/>
    <w:rsid w:val="037267E8"/>
    <w:rsid w:val="1D0837A5"/>
    <w:rsid w:val="1F547FE0"/>
    <w:rsid w:val="1FC3772C"/>
    <w:rsid w:val="205418D6"/>
    <w:rsid w:val="25875D28"/>
    <w:rsid w:val="27187A5B"/>
    <w:rsid w:val="31B05F12"/>
    <w:rsid w:val="3AF92C8C"/>
    <w:rsid w:val="3EC44BA1"/>
    <w:rsid w:val="46A452A1"/>
    <w:rsid w:val="50A07D02"/>
    <w:rsid w:val="63E860EA"/>
    <w:rsid w:val="779C0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autoRedefine/>
    <w:unhideWhenUsed/>
    <w:qFormat/>
    <w:uiPriority w:val="0"/>
    <w:pPr>
      <w:keepNext/>
      <w:keepLines/>
      <w:spacing w:before="260" w:after="260" w:line="413" w:lineRule="auto"/>
      <w:outlineLvl w:val="2"/>
    </w:pPr>
    <w:rPr>
      <w:b/>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spacing w:line="360" w:lineRule="auto"/>
    </w:pPr>
    <w:rPr>
      <w:rFonts w:ascii="新宋体" w:hAnsi="新宋体" w:eastAsia="新宋体"/>
      <w:sz w:val="24"/>
    </w:rPr>
  </w:style>
  <w:style w:type="paragraph" w:styleId="6">
    <w:name w:val="Body Text"/>
    <w:basedOn w:val="1"/>
    <w:autoRedefine/>
    <w:qFormat/>
    <w:uiPriority w:val="0"/>
    <w:rPr>
      <w:sz w:val="24"/>
    </w:rPr>
  </w:style>
  <w:style w:type="paragraph" w:styleId="7">
    <w:name w:val="Body Text Indent"/>
    <w:basedOn w:val="1"/>
    <w:qFormat/>
    <w:uiPriority w:val="0"/>
    <w:pPr>
      <w:spacing w:after="120"/>
      <w:ind w:left="420" w:leftChars="200"/>
    </w:pPr>
  </w:style>
  <w:style w:type="paragraph" w:styleId="8">
    <w:name w:val="toc 3"/>
    <w:basedOn w:val="1"/>
    <w:next w:val="1"/>
    <w:qFormat/>
    <w:uiPriority w:val="0"/>
    <w:pPr>
      <w:ind w:left="840" w:leftChars="400"/>
    </w:pPr>
  </w:style>
  <w:style w:type="paragraph" w:styleId="9">
    <w:name w:val="Balloon Text"/>
    <w:basedOn w:val="1"/>
    <w:link w:val="26"/>
    <w:autoRedefine/>
    <w:qFormat/>
    <w:uiPriority w:val="0"/>
    <w:rPr>
      <w:sz w:val="18"/>
      <w:szCs w:val="18"/>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unhideWhenUsed/>
    <w:qFormat/>
    <w:uiPriority w:val="99"/>
    <w:rPr>
      <w:color w:val="0563C1" w:themeColor="hyperlink"/>
      <w:u w:val="single"/>
      <w14:textFill>
        <w14:solidFill>
          <w14:schemeClr w14:val="hlink"/>
        </w14:solidFill>
      </w14:textFill>
    </w:rPr>
  </w:style>
  <w:style w:type="paragraph" w:customStyle="1" w:styleId="20">
    <w:name w:val="表题"/>
    <w:basedOn w:val="1"/>
    <w:qFormat/>
    <w:uiPriority w:val="0"/>
    <w:pPr>
      <w:spacing w:afterLines="20"/>
      <w:jc w:val="center"/>
    </w:pPr>
    <w:rPr>
      <w:rFonts w:eastAsia="方正黑体简体"/>
      <w:szCs w:val="20"/>
    </w:rPr>
  </w:style>
  <w:style w:type="paragraph" w:customStyle="1" w:styleId="21">
    <w:name w:val="表内容"/>
    <w:basedOn w:val="1"/>
    <w:autoRedefine/>
    <w:qFormat/>
    <w:uiPriority w:val="0"/>
    <w:pPr>
      <w:spacing w:line="240" w:lineRule="exact"/>
      <w:ind w:firstLine="100" w:firstLineChars="100"/>
    </w:pPr>
    <w:rPr>
      <w:rFonts w:eastAsia="方正书宋简体"/>
      <w:szCs w:val="21"/>
    </w:rPr>
  </w:style>
  <w:style w:type="paragraph" w:customStyle="1" w:styleId="22">
    <w:name w:val="表内容行距"/>
    <w:basedOn w:val="21"/>
    <w:qFormat/>
    <w:uiPriority w:val="0"/>
    <w:pPr>
      <w:spacing w:line="340" w:lineRule="exact"/>
    </w:pPr>
  </w:style>
  <w:style w:type="paragraph" w:customStyle="1" w:styleId="23">
    <w:name w:val="WPSOffice手动目录 1"/>
    <w:qFormat/>
    <w:uiPriority w:val="0"/>
    <w:rPr>
      <w:rFonts w:asciiTheme="minorHAnsi" w:hAnsiTheme="minorHAnsi" w:eastAsiaTheme="minorEastAsia" w:cstheme="minorBidi"/>
      <w:lang w:val="en-US" w:eastAsia="zh-CN" w:bidi="ar-SA"/>
    </w:rPr>
  </w:style>
  <w:style w:type="paragraph" w:customStyle="1" w:styleId="24">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5">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26">
    <w:name w:val="批注框文本 Char"/>
    <w:basedOn w:val="17"/>
    <w:link w:val="9"/>
    <w:qFormat/>
    <w:uiPriority w:val="0"/>
    <w:rPr>
      <w:kern w:val="2"/>
      <w:sz w:val="18"/>
      <w:szCs w:val="18"/>
    </w:rPr>
  </w:style>
  <w:style w:type="paragraph" w:customStyle="1" w:styleId="27">
    <w:name w:val="列出段落1"/>
    <w:basedOn w:val="1"/>
    <w:autoRedefine/>
    <w:unhideWhenUsed/>
    <w:qFormat/>
    <w:uiPriority w:val="99"/>
    <w:pPr>
      <w:ind w:firstLine="420" w:firstLineChars="200"/>
    </w:pPr>
  </w:style>
  <w:style w:type="character" w:customStyle="1" w:styleId="28">
    <w:name w:val="标题 1 Char"/>
    <w:basedOn w:val="17"/>
    <w:link w:val="2"/>
    <w:autoRedefine/>
    <w:qFormat/>
    <w:uiPriority w:val="0"/>
    <w:rPr>
      <w:b/>
      <w:bCs/>
      <w:kern w:val="44"/>
      <w:sz w:val="44"/>
      <w:szCs w:val="44"/>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30">
    <w:name w:val="标题1"/>
    <w:basedOn w:val="1"/>
    <w:next w:val="1"/>
    <w:link w:val="32"/>
    <w:unhideWhenUsed/>
    <w:qFormat/>
    <w:uiPriority w:val="0"/>
    <w:pPr>
      <w:spacing w:before="100" w:beforeAutospacing="1" w:after="100" w:afterAutospacing="1"/>
      <w:outlineLvl w:val="0"/>
    </w:pPr>
    <w:rPr>
      <w:rFonts w:hint="eastAsia" w:ascii="Calibri Light" w:hAnsi="Calibri Light" w:eastAsia="黑体"/>
      <w:sz w:val="32"/>
      <w:szCs w:val="32"/>
    </w:rPr>
  </w:style>
  <w:style w:type="paragraph" w:customStyle="1" w:styleId="31">
    <w:name w:val="1楷体（一）"/>
    <w:basedOn w:val="1"/>
    <w:link w:val="33"/>
    <w:unhideWhenUsed/>
    <w:qFormat/>
    <w:uiPriority w:val="0"/>
    <w:pPr>
      <w:ind w:firstLine="640"/>
    </w:pPr>
    <w:rPr>
      <w:rFonts w:hint="eastAsia" w:ascii="楷体" w:hAnsi="楷体" w:eastAsia="楷体"/>
      <w:sz w:val="32"/>
    </w:rPr>
  </w:style>
  <w:style w:type="character" w:customStyle="1" w:styleId="32">
    <w:name w:val="标题 Char"/>
    <w:basedOn w:val="17"/>
    <w:link w:val="30"/>
    <w:unhideWhenUsed/>
    <w:qFormat/>
    <w:uiPriority w:val="0"/>
    <w:rPr>
      <w:rFonts w:hint="eastAsia" w:ascii="Calibri Light" w:hAnsi="Calibri Light" w:eastAsia="黑体" w:cs="Times New Roman"/>
      <w:kern w:val="2"/>
      <w:sz w:val="32"/>
      <w:szCs w:val="32"/>
    </w:rPr>
  </w:style>
  <w:style w:type="character" w:customStyle="1" w:styleId="33">
    <w:name w:val="1楷体（一） Char"/>
    <w:basedOn w:val="17"/>
    <w:link w:val="31"/>
    <w:unhideWhenUsed/>
    <w:qFormat/>
    <w:uiPriority w:val="0"/>
    <w:rPr>
      <w:rFonts w:hint="eastAsia" w:ascii="楷体" w:hAnsi="楷体" w:eastAsia="楷体" w:cs="Times New Roman"/>
      <w:kern w:val="2"/>
      <w:sz w:val="24"/>
      <w:szCs w:val="24"/>
    </w:rPr>
  </w:style>
  <w:style w:type="paragraph" w:customStyle="1" w:styleId="34">
    <w:name w:val="F"/>
    <w:basedOn w:val="1"/>
    <w:link w:val="35"/>
    <w:qFormat/>
    <w:uiPriority w:val="0"/>
    <w:pPr>
      <w:spacing w:line="580" w:lineRule="exact"/>
      <w:ind w:firstLine="640"/>
    </w:pPr>
    <w:rPr>
      <w:rFonts w:ascii="仿宋_GB2312" w:hAnsi="CESI仿宋-GB2312" w:eastAsia="仿宋_GB2312"/>
      <w:sz w:val="32"/>
      <w:szCs w:val="32"/>
    </w:rPr>
  </w:style>
  <w:style w:type="character" w:customStyle="1" w:styleId="35">
    <w:name w:val="F Char"/>
    <w:basedOn w:val="17"/>
    <w:link w:val="34"/>
    <w:qFormat/>
    <w:uiPriority w:val="0"/>
    <w:rPr>
      <w:rFonts w:ascii="仿宋_GB2312" w:hAnsi="CESI仿宋-GB2312" w:eastAsia="仿宋_GB2312" w:cstheme="minorBidi"/>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24609</Words>
  <Characters>25107</Characters>
  <Lines>203</Lines>
  <Paragraphs>57</Paragraphs>
  <TotalTime>0</TotalTime>
  <ScaleCrop>false</ScaleCrop>
  <LinksUpToDate>false</LinksUpToDate>
  <CharactersWithSpaces>25492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2018-09-18T18:56:00Z</dcterms:created>
  <dc:creator>Administrator</dc:creator>
  <cp:lastModifiedBy>Y</cp:lastModifiedBy>
  <dcterms:modified xsi:type="dcterms:W3CDTF">2025-09-08T06:37:51Z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4F7F8A3B7E854EF88487F699FEB15BA3_13</vt:lpwstr>
  </property>
  <property fmtid="{D5CDD505-2E9C-101B-9397-08002B2CF9AE}" pid="4" name="KSOTemplateDocerSaveRecord">
    <vt:lpwstr>eyJoZGlkIjoiMzY5ODZhNDFlMTExNjMwOTljNTU4MzllYTMxMDIwZWIiLCJ1c2VySWQiOiI0MzgxNzI5MTQifQ==</vt:lpwstr>
  </property>
</Properties>
</file>